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F9" w:rsidRPr="00F45F2F" w:rsidRDefault="003111F9">
      <w:pPr>
        <w:spacing w:line="360" w:lineRule="auto"/>
        <w:jc w:val="center"/>
        <w:rPr>
          <w:rFonts w:ascii="Faustina" w:eastAsia="Arial" w:hAnsi="Faustina" w:cs="Arial"/>
          <w:sz w:val="22"/>
          <w:szCs w:val="22"/>
        </w:rPr>
      </w:pPr>
    </w:p>
    <w:p w:rsidR="003111F9" w:rsidRPr="00F45F2F" w:rsidRDefault="003E0CBC">
      <w:pPr>
        <w:spacing w:line="360" w:lineRule="auto"/>
        <w:jc w:val="center"/>
        <w:rPr>
          <w:rFonts w:ascii="Faustina" w:eastAsia="Arial" w:hAnsi="Faustina" w:cs="Arial"/>
          <w:b/>
          <w:sz w:val="22"/>
          <w:szCs w:val="22"/>
        </w:rPr>
      </w:pPr>
      <w:r w:rsidRPr="00F45F2F">
        <w:rPr>
          <w:rFonts w:ascii="Faustina" w:eastAsia="Arial" w:hAnsi="Faustina" w:cs="Arial"/>
          <w:b/>
          <w:sz w:val="22"/>
          <w:szCs w:val="22"/>
        </w:rPr>
        <w:t xml:space="preserve">CONVENIO ESPECÍFICO ENTRE </w:t>
      </w:r>
      <w:r w:rsidR="00555A5A">
        <w:rPr>
          <w:rFonts w:ascii="Faustina" w:eastAsia="Arial" w:hAnsi="Faustina" w:cs="Arial"/>
          <w:b/>
          <w:sz w:val="22"/>
          <w:szCs w:val="22"/>
        </w:rPr>
        <w:t xml:space="preserve">EL </w:t>
      </w:r>
      <w:r w:rsidR="00555A5A" w:rsidRPr="00555A5A">
        <w:rPr>
          <w:rFonts w:ascii="Faustina" w:eastAsia="Arial" w:hAnsi="Faustina" w:cs="Arial"/>
          <w:b/>
          <w:sz w:val="22"/>
          <w:szCs w:val="22"/>
        </w:rPr>
        <w:t>INSTITUTO DE AYUDA FINANCIERA PARA PAGO DE RETIROS Y PENSIONES MILITARES</w:t>
      </w:r>
      <w:r w:rsidRPr="00F45F2F">
        <w:rPr>
          <w:rFonts w:ascii="Faustina" w:eastAsia="Arial" w:hAnsi="Faustina" w:cs="Arial"/>
          <w:b/>
          <w:sz w:val="22"/>
          <w:szCs w:val="22"/>
        </w:rPr>
        <w:t xml:space="preserve"> y LA UNIVERSIDAD NACIONAL DE SAN MARTÍN</w:t>
      </w:r>
    </w:p>
    <w:p w:rsidR="003111F9" w:rsidRPr="00F45F2F" w:rsidRDefault="003111F9">
      <w:pPr>
        <w:spacing w:line="360" w:lineRule="auto"/>
        <w:jc w:val="center"/>
        <w:rPr>
          <w:rFonts w:ascii="Faustina" w:eastAsia="Arial" w:hAnsi="Faustina" w:cs="Arial"/>
          <w:sz w:val="22"/>
          <w:szCs w:val="22"/>
        </w:rPr>
      </w:pPr>
    </w:p>
    <w:p w:rsidR="003111F9" w:rsidRDefault="00555A5A">
      <w:pPr>
        <w:spacing w:line="360" w:lineRule="auto"/>
        <w:jc w:val="both"/>
        <w:rPr>
          <w:rFonts w:ascii="Faustina" w:eastAsia="Arial" w:hAnsi="Faustina" w:cs="Arial"/>
          <w:sz w:val="22"/>
          <w:szCs w:val="22"/>
        </w:rPr>
      </w:pPr>
      <w:r>
        <w:rPr>
          <w:rFonts w:ascii="Faustina" w:eastAsia="Arial" w:hAnsi="Faustina" w:cs="Arial"/>
          <w:sz w:val="22"/>
          <w:szCs w:val="22"/>
        </w:rPr>
        <w:t xml:space="preserve">EL </w:t>
      </w:r>
      <w:r w:rsidRPr="00555A5A">
        <w:rPr>
          <w:rFonts w:ascii="Faustina" w:eastAsia="Arial" w:hAnsi="Faustina" w:cs="Arial"/>
          <w:sz w:val="22"/>
          <w:szCs w:val="22"/>
        </w:rPr>
        <w:t>INSTITUTO DE AYUDA FINANCIERA PARA PAGO DE RETIROS Y PENSIONES MILITARES</w:t>
      </w:r>
      <w:r w:rsidR="008F0776">
        <w:rPr>
          <w:rFonts w:ascii="Faustina" w:eastAsia="Arial" w:hAnsi="Faustina" w:cs="Arial"/>
          <w:sz w:val="22"/>
          <w:szCs w:val="22"/>
        </w:rPr>
        <w:t xml:space="preserve">, con domicilio </w:t>
      </w:r>
      <w:r w:rsidR="008F0776" w:rsidRPr="008F0776">
        <w:rPr>
          <w:rFonts w:ascii="Faustina" w:eastAsia="Arial" w:hAnsi="Faustina" w:cs="Arial"/>
          <w:sz w:val="22"/>
          <w:szCs w:val="22"/>
        </w:rPr>
        <w:t xml:space="preserve">en </w:t>
      </w:r>
      <w:r>
        <w:rPr>
          <w:rFonts w:ascii="Faustina" w:eastAsia="Arial" w:hAnsi="Faustina" w:cs="Arial"/>
          <w:sz w:val="22"/>
          <w:szCs w:val="22"/>
        </w:rPr>
        <w:t>Cerrito N° 572</w:t>
      </w:r>
      <w:r w:rsidR="00776C2D">
        <w:rPr>
          <w:rFonts w:ascii="Faustina" w:eastAsia="Arial" w:hAnsi="Faustina" w:cs="Arial"/>
          <w:sz w:val="22"/>
          <w:szCs w:val="22"/>
        </w:rPr>
        <w:t xml:space="preserve"> de la</w:t>
      </w:r>
      <w:r w:rsidR="008F0776" w:rsidRPr="008F0776">
        <w:rPr>
          <w:rFonts w:ascii="Faustina" w:eastAsia="Arial" w:hAnsi="Faustina" w:cs="Arial"/>
          <w:sz w:val="22"/>
          <w:szCs w:val="22"/>
        </w:rPr>
        <w:t xml:space="preserve"> Ciudad Autónoma de Buenos Aires</w:t>
      </w:r>
      <w:r w:rsidR="00F45F2F">
        <w:rPr>
          <w:rFonts w:ascii="Faustina" w:eastAsia="Arial" w:hAnsi="Faustina" w:cs="Arial"/>
          <w:sz w:val="22"/>
          <w:szCs w:val="22"/>
        </w:rPr>
        <w:t xml:space="preserve">, en adelante </w:t>
      </w:r>
      <w:r w:rsidR="003E0CBC" w:rsidRPr="00F45F2F">
        <w:rPr>
          <w:rFonts w:ascii="Faustina" w:eastAsia="Arial" w:hAnsi="Faustina" w:cs="Arial"/>
          <w:sz w:val="22"/>
          <w:szCs w:val="22"/>
        </w:rPr>
        <w:t>"</w:t>
      </w:r>
      <w:r>
        <w:rPr>
          <w:rFonts w:ascii="Faustina" w:eastAsia="Arial" w:hAnsi="Faustina" w:cs="Arial"/>
          <w:sz w:val="22"/>
          <w:szCs w:val="22"/>
        </w:rPr>
        <w:t>IAF</w:t>
      </w:r>
      <w:r w:rsidR="003E0CBC" w:rsidRPr="00F45F2F">
        <w:rPr>
          <w:rFonts w:ascii="Faustina" w:eastAsia="Arial" w:hAnsi="Faustina" w:cs="Arial"/>
          <w:sz w:val="22"/>
          <w:szCs w:val="22"/>
        </w:rPr>
        <w:t xml:space="preserve">", representado en este acto por </w:t>
      </w:r>
      <w:r>
        <w:rPr>
          <w:rFonts w:ascii="Faustina" w:eastAsia="Arial" w:hAnsi="Faustina" w:cs="Arial"/>
          <w:sz w:val="22"/>
          <w:szCs w:val="22"/>
        </w:rPr>
        <w:t xml:space="preserve">el Presidente del Directorio </w:t>
      </w:r>
      <w:r w:rsidRPr="00555A5A">
        <w:rPr>
          <w:rFonts w:ascii="Faustina" w:eastAsia="Arial" w:hAnsi="Faustina" w:cs="Arial"/>
          <w:sz w:val="22"/>
          <w:szCs w:val="22"/>
        </w:rPr>
        <w:t xml:space="preserve">Dr. Agustín </w:t>
      </w:r>
      <w:r w:rsidR="00776C2D">
        <w:rPr>
          <w:rFonts w:ascii="Faustina" w:eastAsia="Arial" w:hAnsi="Faustina" w:cs="Arial"/>
          <w:sz w:val="22"/>
          <w:szCs w:val="22"/>
        </w:rPr>
        <w:t xml:space="preserve">Miguel COLOMBO SIERRA </w:t>
      </w:r>
      <w:r w:rsidR="00776C2D">
        <w:rPr>
          <w:rFonts w:ascii="Faustina" w:eastAsia="Arial" w:hAnsi="Faustina" w:cs="Arial"/>
          <w:sz w:val="22"/>
          <w:szCs w:val="22"/>
        </w:rPr>
        <w:br/>
        <w:t>(DNI N° 10.140.966)</w:t>
      </w:r>
      <w:r w:rsidR="003E0CBC" w:rsidRPr="00F45F2F">
        <w:rPr>
          <w:rFonts w:ascii="Faustina" w:eastAsia="Arial" w:hAnsi="Faustina" w:cs="Arial"/>
          <w:sz w:val="22"/>
          <w:szCs w:val="22"/>
        </w:rPr>
        <w:t xml:space="preserve">; y la UNIVERSIDAD NACIONAL DE GENERAL SAN MARTÍN, con domicilio en </w:t>
      </w:r>
      <w:proofErr w:type="spellStart"/>
      <w:r w:rsidR="003E0CBC" w:rsidRPr="00F45F2F">
        <w:rPr>
          <w:rFonts w:ascii="Faustina" w:eastAsia="Arial" w:hAnsi="Faustina" w:cs="Arial"/>
          <w:sz w:val="22"/>
          <w:szCs w:val="22"/>
        </w:rPr>
        <w:t>Yapeyú</w:t>
      </w:r>
      <w:proofErr w:type="spellEnd"/>
      <w:r w:rsidR="003E0CBC" w:rsidRPr="00F45F2F">
        <w:rPr>
          <w:rFonts w:ascii="Faustina" w:eastAsia="Arial" w:hAnsi="Faustina" w:cs="Arial"/>
          <w:sz w:val="22"/>
          <w:szCs w:val="22"/>
        </w:rPr>
        <w:t xml:space="preserve"> N° 2068, Partido de San Martín, Provincia de Buenos Aires, en adelante "LA UNSAM”, representada en este acto Señor Decano de la Escuela </w:t>
      </w:r>
      <w:r w:rsidR="007331A7">
        <w:rPr>
          <w:rFonts w:ascii="Faustina" w:eastAsia="Arial" w:hAnsi="Faustina" w:cs="Arial"/>
          <w:sz w:val="22"/>
          <w:szCs w:val="22"/>
        </w:rPr>
        <w:t>de Economía y Negocios, Cdor.</w:t>
      </w:r>
      <w:r w:rsidR="003E0CBC" w:rsidRPr="00F45F2F">
        <w:rPr>
          <w:rFonts w:ascii="Faustina" w:eastAsia="Arial" w:hAnsi="Faustina" w:cs="Arial"/>
          <w:sz w:val="22"/>
          <w:szCs w:val="22"/>
        </w:rPr>
        <w:t xml:space="preserve"> Marcelo Leopoldo PAZ </w:t>
      </w:r>
      <w:r w:rsidR="00776C2D">
        <w:rPr>
          <w:rFonts w:ascii="Faustina" w:eastAsia="Arial" w:hAnsi="Faustina" w:cs="Arial"/>
          <w:sz w:val="22"/>
          <w:szCs w:val="22"/>
        </w:rPr>
        <w:t xml:space="preserve">(DNI N° </w:t>
      </w:r>
      <w:r w:rsidR="00B870DF" w:rsidRPr="00B870DF">
        <w:rPr>
          <w:rFonts w:ascii="Faustina" w:eastAsia="Arial" w:hAnsi="Faustina" w:cs="Arial"/>
          <w:sz w:val="22"/>
          <w:szCs w:val="22"/>
        </w:rPr>
        <w:t>20.249.781</w:t>
      </w:r>
      <w:r w:rsidR="00776C2D">
        <w:rPr>
          <w:rFonts w:ascii="Faustina" w:eastAsia="Arial" w:hAnsi="Faustina" w:cs="Arial"/>
          <w:sz w:val="22"/>
          <w:szCs w:val="22"/>
        </w:rPr>
        <w:t xml:space="preserve">) </w:t>
      </w:r>
      <w:r w:rsidR="003E0CBC" w:rsidRPr="00F45F2F">
        <w:rPr>
          <w:rFonts w:ascii="Faustina" w:eastAsia="Arial" w:hAnsi="Faustina" w:cs="Arial"/>
          <w:sz w:val="22"/>
          <w:szCs w:val="22"/>
        </w:rPr>
        <w:t xml:space="preserve">por la otra, en adelante denominadas en forma conjunta "LAS PARTES", acuerdan celebrar el presente Convenio, </w:t>
      </w:r>
      <w:r w:rsidR="00B34B4D" w:rsidRPr="00F74E9F">
        <w:rPr>
          <w:rFonts w:ascii="Faustina" w:eastAsia="Arial" w:hAnsi="Faustina" w:cs="Arial"/>
          <w:sz w:val="22"/>
          <w:szCs w:val="22"/>
        </w:rPr>
        <w:t xml:space="preserve">en el marco de lo reglamentado por el artículo 25 inciso d) apartado 9 del Decreto delegado N° 1023/2001 y los artículos 23 y 23 bis del Decreto N° 1030/2016, </w:t>
      </w:r>
      <w:r w:rsidR="003E0CBC" w:rsidRPr="00F45F2F">
        <w:rPr>
          <w:rFonts w:ascii="Faustina" w:eastAsia="Arial" w:hAnsi="Faustina" w:cs="Arial"/>
          <w:sz w:val="22"/>
          <w:szCs w:val="22"/>
        </w:rPr>
        <w:t xml:space="preserve">el cual de ajustará a las siguientes cláusulas: </w:t>
      </w:r>
    </w:p>
    <w:p w:rsidR="00F45F2F" w:rsidRPr="00F45F2F" w:rsidRDefault="00F45F2F">
      <w:pPr>
        <w:spacing w:line="360" w:lineRule="auto"/>
        <w:jc w:val="both"/>
        <w:rPr>
          <w:rFonts w:ascii="Faustina" w:eastAsia="Arial" w:hAnsi="Faustina" w:cs="Arial"/>
          <w:sz w:val="22"/>
          <w:szCs w:val="22"/>
        </w:rPr>
      </w:pPr>
    </w:p>
    <w:p w:rsidR="00636076"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CLÁUSULA PRIMERA – OBJETO: El objeto de este CONVENIO consiste en que "LA UNSAM</w:t>
      </w:r>
      <w:r w:rsidR="00CD58B9">
        <w:rPr>
          <w:rFonts w:ascii="Faustina" w:eastAsia="Arial" w:hAnsi="Faustina" w:cs="Arial"/>
          <w:sz w:val="22"/>
          <w:szCs w:val="22"/>
        </w:rPr>
        <w:t>”</w:t>
      </w:r>
      <w:r w:rsidRPr="00F45F2F">
        <w:rPr>
          <w:rFonts w:ascii="Faustina" w:eastAsia="Arial" w:hAnsi="Faustina" w:cs="Arial"/>
          <w:sz w:val="22"/>
          <w:szCs w:val="22"/>
        </w:rPr>
        <w:t xml:space="preserve"> a pedido de</w:t>
      </w:r>
      <w:r w:rsidR="00CD58B9">
        <w:rPr>
          <w:rFonts w:ascii="Faustina" w:eastAsia="Arial" w:hAnsi="Faustina" w:cs="Arial"/>
          <w:sz w:val="22"/>
          <w:szCs w:val="22"/>
        </w:rPr>
        <w:t>l</w:t>
      </w:r>
      <w:r w:rsidRPr="00F45F2F">
        <w:rPr>
          <w:rFonts w:ascii="Faustina" w:eastAsia="Arial" w:hAnsi="Faustina" w:cs="Arial"/>
          <w:sz w:val="22"/>
          <w:szCs w:val="22"/>
        </w:rPr>
        <w:t xml:space="preserve"> "</w:t>
      </w:r>
      <w:r w:rsidR="00636076">
        <w:rPr>
          <w:rFonts w:ascii="Faustina" w:eastAsia="Arial" w:hAnsi="Faustina" w:cs="Arial"/>
          <w:sz w:val="22"/>
          <w:szCs w:val="22"/>
        </w:rPr>
        <w:t>IAF</w:t>
      </w:r>
      <w:r w:rsidRPr="00F45F2F">
        <w:rPr>
          <w:rFonts w:ascii="Faustina" w:eastAsia="Arial" w:hAnsi="Faustina" w:cs="Arial"/>
          <w:sz w:val="22"/>
          <w:szCs w:val="22"/>
        </w:rPr>
        <w:t>",</w:t>
      </w:r>
      <w:r w:rsidR="00E55E95">
        <w:rPr>
          <w:rFonts w:ascii="Faustina" w:eastAsia="Arial" w:hAnsi="Faustina" w:cs="Arial"/>
          <w:sz w:val="22"/>
          <w:szCs w:val="22"/>
        </w:rPr>
        <w:t xml:space="preserve"> realice</w:t>
      </w:r>
      <w:r w:rsidR="00636076">
        <w:rPr>
          <w:rFonts w:ascii="Faustina" w:eastAsia="Arial" w:hAnsi="Faustina" w:cs="Arial"/>
          <w:sz w:val="22"/>
          <w:szCs w:val="22"/>
        </w:rPr>
        <w:t xml:space="preserve"> </w:t>
      </w:r>
      <w:r w:rsidR="00636076" w:rsidRPr="00636076">
        <w:rPr>
          <w:rFonts w:ascii="Faustina" w:eastAsia="Arial" w:hAnsi="Faustina" w:cs="Arial"/>
          <w:sz w:val="22"/>
          <w:szCs w:val="22"/>
        </w:rPr>
        <w:t>Auditoría</w:t>
      </w:r>
      <w:r w:rsidR="00636076">
        <w:rPr>
          <w:rFonts w:ascii="Faustina" w:eastAsia="Arial" w:hAnsi="Faustina" w:cs="Arial"/>
          <w:sz w:val="22"/>
          <w:szCs w:val="22"/>
        </w:rPr>
        <w:t>s</w:t>
      </w:r>
      <w:r w:rsidR="00636076" w:rsidRPr="00636076">
        <w:rPr>
          <w:rFonts w:ascii="Faustina" w:eastAsia="Arial" w:hAnsi="Faustina" w:cs="Arial"/>
          <w:sz w:val="22"/>
          <w:szCs w:val="22"/>
        </w:rPr>
        <w:t xml:space="preserve"> sobre</w:t>
      </w:r>
      <w:r w:rsidR="00636076">
        <w:rPr>
          <w:rFonts w:ascii="Faustina" w:eastAsia="Arial" w:hAnsi="Faustina" w:cs="Arial"/>
          <w:sz w:val="22"/>
          <w:szCs w:val="22"/>
        </w:rPr>
        <w:t xml:space="preserve"> sus </w:t>
      </w:r>
      <w:r w:rsidR="00636076" w:rsidRPr="00636076">
        <w:rPr>
          <w:rFonts w:ascii="Faustina" w:eastAsia="Arial" w:hAnsi="Faustina" w:cs="Arial"/>
          <w:sz w:val="22"/>
          <w:szCs w:val="22"/>
        </w:rPr>
        <w:t>Estados Contables por los ejercicios finalizados el 31 de diciembre de 2018, el 31 de diciembre de 2019,</w:t>
      </w:r>
      <w:r w:rsidR="00636076">
        <w:rPr>
          <w:rFonts w:ascii="Faustina" w:eastAsia="Arial" w:hAnsi="Faustina" w:cs="Arial"/>
          <w:sz w:val="22"/>
          <w:szCs w:val="22"/>
        </w:rPr>
        <w:t xml:space="preserve"> el </w:t>
      </w:r>
      <w:r w:rsidR="00CD58B9">
        <w:rPr>
          <w:rFonts w:ascii="Faustina" w:eastAsia="Arial" w:hAnsi="Faustina" w:cs="Arial"/>
          <w:sz w:val="22"/>
          <w:szCs w:val="22"/>
        </w:rPr>
        <w:t>31 de diciembre de 2020,</w:t>
      </w:r>
      <w:r w:rsidR="00636076" w:rsidRPr="00636076">
        <w:rPr>
          <w:rFonts w:ascii="Faustina" w:eastAsia="Arial" w:hAnsi="Faustina" w:cs="Arial"/>
          <w:sz w:val="22"/>
          <w:szCs w:val="22"/>
        </w:rPr>
        <w:t xml:space="preserve"> el 31 de diciembre de </w:t>
      </w:r>
      <w:r w:rsidR="00636076">
        <w:rPr>
          <w:rFonts w:ascii="Faustina" w:eastAsia="Arial" w:hAnsi="Faustina" w:cs="Arial"/>
          <w:sz w:val="22"/>
          <w:szCs w:val="22"/>
        </w:rPr>
        <w:t xml:space="preserve">2021, </w:t>
      </w:r>
      <w:r w:rsidR="00636076" w:rsidRPr="00636076">
        <w:rPr>
          <w:rFonts w:ascii="Faustina" w:eastAsia="Arial" w:hAnsi="Faustina" w:cs="Arial"/>
          <w:sz w:val="22"/>
          <w:szCs w:val="22"/>
        </w:rPr>
        <w:t>los ejercicios a finalizar el 31 de diciembre de 2022 y el 31 de diciembre de 2023, bajo normas locales vigentes de Argentina.</w:t>
      </w:r>
    </w:p>
    <w:p w:rsidR="00636076" w:rsidRDefault="00636076">
      <w:pPr>
        <w:spacing w:line="360" w:lineRule="auto"/>
        <w:jc w:val="both"/>
        <w:rPr>
          <w:rFonts w:ascii="Faustina" w:eastAsia="Arial" w:hAnsi="Faustina" w:cs="Arial"/>
          <w:sz w:val="22"/>
          <w:szCs w:val="22"/>
        </w:rPr>
      </w:pPr>
    </w:p>
    <w:p w:rsidR="003111F9"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Para ello "LA UNSAM” realizar</w:t>
      </w:r>
      <w:r w:rsidR="00B34B4D">
        <w:rPr>
          <w:rFonts w:ascii="Faustina" w:eastAsia="Arial" w:hAnsi="Faustina" w:cs="Arial"/>
          <w:sz w:val="22"/>
          <w:szCs w:val="22"/>
        </w:rPr>
        <w:t>á</w:t>
      </w:r>
      <w:r w:rsidRPr="00F45F2F">
        <w:rPr>
          <w:rFonts w:ascii="Faustina" w:eastAsia="Arial" w:hAnsi="Faustina" w:cs="Arial"/>
          <w:sz w:val="22"/>
          <w:szCs w:val="22"/>
        </w:rPr>
        <w:t xml:space="preserve"> </w:t>
      </w:r>
      <w:r w:rsidR="00B34B4D" w:rsidRPr="00F74E9F">
        <w:rPr>
          <w:rFonts w:ascii="Faustina" w:eastAsia="Arial" w:hAnsi="Faustina" w:cs="Arial"/>
          <w:sz w:val="22"/>
          <w:szCs w:val="22"/>
        </w:rPr>
        <w:t>la labor</w:t>
      </w:r>
      <w:r w:rsidR="00B34B4D" w:rsidRPr="00B34B4D">
        <w:rPr>
          <w:rFonts w:ascii="Faustina" w:eastAsia="Arial" w:hAnsi="Faustina" w:cs="Arial"/>
          <w:sz w:val="22"/>
          <w:szCs w:val="22"/>
        </w:rPr>
        <w:t xml:space="preserve"> </w:t>
      </w:r>
      <w:r w:rsidRPr="00F45F2F">
        <w:rPr>
          <w:rFonts w:ascii="Faustina" w:eastAsia="Arial" w:hAnsi="Faustina" w:cs="Arial"/>
          <w:sz w:val="22"/>
          <w:szCs w:val="22"/>
        </w:rPr>
        <w:t xml:space="preserve">a través de personal idóneo para el desarrollo de las tareas que se detallan en el ANEXO y que permitan cumplimentar el objeto del presente convenio. </w:t>
      </w:r>
    </w:p>
    <w:p w:rsidR="00F45F2F" w:rsidRPr="00F45F2F" w:rsidRDefault="00F45F2F">
      <w:pPr>
        <w:spacing w:line="360" w:lineRule="auto"/>
        <w:jc w:val="both"/>
        <w:rPr>
          <w:rFonts w:ascii="Faustina" w:eastAsia="Arial" w:hAnsi="Faustina" w:cs="Arial"/>
          <w:sz w:val="22"/>
          <w:szCs w:val="22"/>
        </w:rPr>
      </w:pPr>
    </w:p>
    <w:p w:rsidR="003111F9"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CLÁUSULA SEGUNDA – UNIDAD DE COORDINACIÓN: A los efectos de programar, organizar, dirigir y supervisar las tareas y actividades para el cumplimiento del presente Convenio, </w:t>
      </w:r>
      <w:r w:rsidR="00714BC9">
        <w:rPr>
          <w:rFonts w:ascii="Faustina" w:eastAsia="Arial" w:hAnsi="Faustina" w:cs="Arial"/>
          <w:sz w:val="22"/>
          <w:szCs w:val="22"/>
        </w:rPr>
        <w:t>“</w:t>
      </w:r>
      <w:r w:rsidR="00CD58B9">
        <w:rPr>
          <w:rFonts w:ascii="Faustina" w:eastAsia="Arial" w:hAnsi="Faustina" w:cs="Arial"/>
          <w:sz w:val="22"/>
          <w:szCs w:val="22"/>
        </w:rPr>
        <w:t>LAS PARTES</w:t>
      </w:r>
      <w:r w:rsidR="00714BC9">
        <w:rPr>
          <w:rFonts w:ascii="Faustina" w:eastAsia="Arial" w:hAnsi="Faustina" w:cs="Arial"/>
          <w:sz w:val="22"/>
          <w:szCs w:val="22"/>
        </w:rPr>
        <w:t>”</w:t>
      </w:r>
      <w:r w:rsidRPr="00F45F2F">
        <w:rPr>
          <w:rFonts w:ascii="Faustina" w:eastAsia="Arial" w:hAnsi="Faustina" w:cs="Arial"/>
          <w:sz w:val="22"/>
          <w:szCs w:val="22"/>
        </w:rPr>
        <w:t xml:space="preserve"> acuerdan la creación de una Unidad de Coordinación que estará integrada por UN (1) miembro por cada una de ellas. </w:t>
      </w:r>
      <w:r w:rsidR="00CD58B9">
        <w:rPr>
          <w:rFonts w:ascii="Faustina" w:eastAsia="Arial" w:hAnsi="Faustina" w:cs="Arial"/>
          <w:sz w:val="22"/>
          <w:szCs w:val="22"/>
        </w:rPr>
        <w:t>“LA UNSAM”</w:t>
      </w:r>
      <w:r w:rsidR="007331A7">
        <w:rPr>
          <w:rFonts w:ascii="Faustina" w:eastAsia="Arial" w:hAnsi="Faustina" w:cs="Arial"/>
          <w:sz w:val="22"/>
          <w:szCs w:val="22"/>
        </w:rPr>
        <w:t xml:space="preserve"> designa al </w:t>
      </w:r>
      <w:r w:rsidR="007331A7" w:rsidRPr="007331A7">
        <w:rPr>
          <w:rFonts w:ascii="Faustina" w:eastAsia="Arial" w:hAnsi="Faustina" w:cs="Arial"/>
          <w:sz w:val="22"/>
          <w:szCs w:val="22"/>
        </w:rPr>
        <w:t xml:space="preserve">Señor Gustavo Javier QUIAN, </w:t>
      </w:r>
      <w:r w:rsidR="007331A7">
        <w:rPr>
          <w:rFonts w:ascii="Faustina" w:eastAsia="Arial" w:hAnsi="Faustina" w:cs="Arial"/>
          <w:sz w:val="22"/>
          <w:szCs w:val="22"/>
        </w:rPr>
        <w:t>(</w:t>
      </w:r>
      <w:r w:rsidR="007331A7" w:rsidRPr="007331A7">
        <w:rPr>
          <w:rFonts w:ascii="Faustina" w:eastAsia="Arial" w:hAnsi="Faustina" w:cs="Arial"/>
          <w:sz w:val="22"/>
          <w:szCs w:val="22"/>
        </w:rPr>
        <w:t>D.N.I.</w:t>
      </w:r>
      <w:r w:rsidR="00636076">
        <w:rPr>
          <w:rFonts w:ascii="Faustina" w:eastAsia="Arial" w:hAnsi="Faustina" w:cs="Arial"/>
          <w:sz w:val="22"/>
          <w:szCs w:val="22"/>
        </w:rPr>
        <w:t xml:space="preserve"> N° 21.072.644) </w:t>
      </w:r>
      <w:r w:rsidR="00CD58B9">
        <w:rPr>
          <w:rFonts w:ascii="Faustina" w:eastAsia="Arial" w:hAnsi="Faustina" w:cs="Arial"/>
          <w:sz w:val="22"/>
          <w:szCs w:val="22"/>
        </w:rPr>
        <w:t>y “</w:t>
      </w:r>
      <w:r w:rsidR="00496D1F">
        <w:rPr>
          <w:rFonts w:ascii="Faustina" w:eastAsia="Arial" w:hAnsi="Faustina" w:cs="Arial"/>
          <w:sz w:val="22"/>
          <w:szCs w:val="22"/>
        </w:rPr>
        <w:t>IAF</w:t>
      </w:r>
      <w:r w:rsidR="00CD58B9">
        <w:rPr>
          <w:rFonts w:ascii="Faustina" w:eastAsia="Arial" w:hAnsi="Faustina" w:cs="Arial"/>
          <w:sz w:val="22"/>
          <w:szCs w:val="22"/>
        </w:rPr>
        <w:t>”</w:t>
      </w:r>
      <w:r w:rsidR="00A13F61">
        <w:rPr>
          <w:rFonts w:ascii="Faustina" w:eastAsia="Arial" w:hAnsi="Faustina" w:cs="Arial"/>
          <w:sz w:val="22"/>
          <w:szCs w:val="22"/>
        </w:rPr>
        <w:t xml:space="preserve"> </w:t>
      </w:r>
      <w:bookmarkStart w:id="0" w:name="_GoBack"/>
      <w:bookmarkEnd w:id="0"/>
      <w:r w:rsidR="00A13F61" w:rsidRPr="00535E95">
        <w:rPr>
          <w:rFonts w:ascii="Faustina" w:eastAsia="Arial" w:hAnsi="Faustina" w:cs="Arial"/>
          <w:sz w:val="22"/>
          <w:szCs w:val="22"/>
        </w:rPr>
        <w:t>designa</w:t>
      </w:r>
      <w:r w:rsidR="008D46DC" w:rsidRPr="00535E95">
        <w:rPr>
          <w:rFonts w:ascii="Faustina" w:eastAsia="Arial" w:hAnsi="Faustina" w:cs="Arial"/>
          <w:sz w:val="22"/>
          <w:szCs w:val="22"/>
        </w:rPr>
        <w:t xml:space="preserve"> al Sr</w:t>
      </w:r>
      <w:r w:rsidR="00535E95" w:rsidRPr="00535E95">
        <w:rPr>
          <w:rFonts w:ascii="Faustina" w:eastAsia="Arial" w:hAnsi="Faustina" w:cs="Arial"/>
          <w:sz w:val="22"/>
          <w:szCs w:val="22"/>
        </w:rPr>
        <w:t xml:space="preserve"> José Antonio </w:t>
      </w:r>
      <w:proofErr w:type="spellStart"/>
      <w:r w:rsidR="00535E95" w:rsidRPr="00535E95">
        <w:rPr>
          <w:rFonts w:ascii="Faustina" w:eastAsia="Arial" w:hAnsi="Faustina" w:cs="Arial"/>
          <w:sz w:val="22"/>
          <w:szCs w:val="22"/>
        </w:rPr>
        <w:t>Vieites</w:t>
      </w:r>
      <w:proofErr w:type="spellEnd"/>
      <w:r w:rsidR="00535E95" w:rsidRPr="00535E95">
        <w:rPr>
          <w:rFonts w:ascii="Faustina" w:eastAsia="Arial" w:hAnsi="Faustina" w:cs="Arial"/>
          <w:sz w:val="22"/>
          <w:szCs w:val="22"/>
        </w:rPr>
        <w:t xml:space="preserve"> </w:t>
      </w:r>
      <w:r w:rsidR="008D46DC" w:rsidRPr="00535E95">
        <w:rPr>
          <w:rFonts w:ascii="Faustina" w:eastAsia="Arial" w:hAnsi="Faustina" w:cs="Arial"/>
          <w:sz w:val="22"/>
          <w:szCs w:val="22"/>
        </w:rPr>
        <w:t xml:space="preserve"> (</w:t>
      </w:r>
      <w:r w:rsidR="00CD58B9" w:rsidRPr="00535E95">
        <w:rPr>
          <w:rFonts w:ascii="Faustina" w:eastAsia="Arial" w:hAnsi="Faustina" w:cs="Arial"/>
          <w:sz w:val="22"/>
          <w:szCs w:val="22"/>
        </w:rPr>
        <w:t>DN</w:t>
      </w:r>
      <w:r w:rsidR="007331A7" w:rsidRPr="00535E95">
        <w:rPr>
          <w:rFonts w:ascii="Faustina" w:eastAsia="Arial" w:hAnsi="Faustina" w:cs="Arial"/>
          <w:sz w:val="22"/>
          <w:szCs w:val="22"/>
        </w:rPr>
        <w:t>I</w:t>
      </w:r>
      <w:r w:rsidR="008D46DC" w:rsidRPr="00535E95">
        <w:rPr>
          <w:rFonts w:ascii="Faustina" w:eastAsia="Arial" w:hAnsi="Faustina" w:cs="Arial"/>
          <w:sz w:val="22"/>
          <w:szCs w:val="22"/>
        </w:rPr>
        <w:t xml:space="preserve"> N° </w:t>
      </w:r>
      <w:r w:rsidR="00535E95" w:rsidRPr="00535E95">
        <w:rPr>
          <w:rFonts w:ascii="Faustina" w:eastAsia="Arial" w:hAnsi="Faustina" w:cs="Arial"/>
          <w:sz w:val="22"/>
          <w:szCs w:val="22"/>
        </w:rPr>
        <w:t>13.654</w:t>
      </w:r>
      <w:proofErr w:type="gramStart"/>
      <w:r w:rsidR="00535E95" w:rsidRPr="00535E95">
        <w:rPr>
          <w:rFonts w:ascii="Faustina" w:eastAsia="Arial" w:hAnsi="Faustina" w:cs="Arial"/>
          <w:sz w:val="22"/>
          <w:szCs w:val="22"/>
        </w:rPr>
        <w:t>..355</w:t>
      </w:r>
      <w:proofErr w:type="gramEnd"/>
      <w:r w:rsidR="008D46DC" w:rsidRPr="00535E95">
        <w:rPr>
          <w:rFonts w:ascii="Faustina" w:eastAsia="Arial" w:hAnsi="Faustina" w:cs="Arial"/>
          <w:sz w:val="22"/>
          <w:szCs w:val="22"/>
        </w:rPr>
        <w:t>)</w:t>
      </w:r>
      <w:r w:rsidR="00B30D30" w:rsidRPr="00535E95">
        <w:rPr>
          <w:rFonts w:ascii="Faustina" w:eastAsia="Arial" w:hAnsi="Faustina" w:cs="Arial"/>
          <w:sz w:val="22"/>
          <w:szCs w:val="22"/>
        </w:rPr>
        <w:t>.</w:t>
      </w:r>
    </w:p>
    <w:p w:rsidR="00F74E9F" w:rsidRDefault="00F74E9F">
      <w:pPr>
        <w:spacing w:line="360" w:lineRule="auto"/>
        <w:jc w:val="both"/>
        <w:rPr>
          <w:rFonts w:ascii="Faustina" w:eastAsia="Arial" w:hAnsi="Faustina" w:cs="Arial"/>
          <w:sz w:val="22"/>
          <w:szCs w:val="22"/>
        </w:rPr>
      </w:pPr>
    </w:p>
    <w:p w:rsidR="00F74E9F" w:rsidRDefault="00F74E9F">
      <w:pPr>
        <w:spacing w:line="360" w:lineRule="auto"/>
        <w:jc w:val="both"/>
        <w:rPr>
          <w:rFonts w:ascii="Faustina" w:eastAsia="Arial" w:hAnsi="Faustina" w:cs="Arial"/>
          <w:sz w:val="22"/>
          <w:szCs w:val="22"/>
        </w:rPr>
      </w:pPr>
    </w:p>
    <w:p w:rsidR="007331A7" w:rsidRPr="00F45F2F" w:rsidRDefault="007331A7">
      <w:pPr>
        <w:spacing w:line="360" w:lineRule="auto"/>
        <w:jc w:val="both"/>
        <w:rPr>
          <w:rFonts w:ascii="Faustina" w:eastAsia="Arial" w:hAnsi="Faustina" w:cs="Arial"/>
          <w:sz w:val="22"/>
          <w:szCs w:val="22"/>
        </w:rPr>
      </w:pPr>
    </w:p>
    <w:p w:rsidR="003111F9"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lastRenderedPageBreak/>
        <w:t xml:space="preserve">CLÁUSULA TERCERA — </w:t>
      </w:r>
      <w:r w:rsidR="00A13F61">
        <w:rPr>
          <w:rFonts w:ascii="Faustina" w:eastAsia="Arial" w:hAnsi="Faustina" w:cs="Arial"/>
          <w:sz w:val="22"/>
          <w:szCs w:val="22"/>
        </w:rPr>
        <w:t xml:space="preserve">CAPITAL HUMANO </w:t>
      </w:r>
      <w:r w:rsidRPr="00F45F2F">
        <w:rPr>
          <w:rFonts w:ascii="Faustina" w:eastAsia="Arial" w:hAnsi="Faustina" w:cs="Arial"/>
          <w:sz w:val="22"/>
          <w:szCs w:val="22"/>
        </w:rPr>
        <w:t xml:space="preserve">Y COORDINACIÓN: "LA UNSAM" proveerá </w:t>
      </w:r>
      <w:r w:rsidR="00A13F61">
        <w:rPr>
          <w:rFonts w:ascii="Faustina" w:eastAsia="Arial" w:hAnsi="Faustina" w:cs="Arial"/>
          <w:sz w:val="22"/>
          <w:szCs w:val="22"/>
        </w:rPr>
        <w:t>el</w:t>
      </w:r>
      <w:r w:rsidRPr="00F45F2F">
        <w:rPr>
          <w:rFonts w:ascii="Faustina" w:eastAsia="Arial" w:hAnsi="Faustina" w:cs="Arial"/>
          <w:sz w:val="22"/>
          <w:szCs w:val="22"/>
        </w:rPr>
        <w:t xml:space="preserve"> </w:t>
      </w:r>
      <w:r w:rsidR="00A13F61">
        <w:rPr>
          <w:rFonts w:ascii="Faustina" w:eastAsia="Arial" w:hAnsi="Faustina" w:cs="Arial"/>
          <w:sz w:val="22"/>
          <w:szCs w:val="22"/>
        </w:rPr>
        <w:t>capital humano calificado</w:t>
      </w:r>
      <w:r w:rsidRPr="00F45F2F">
        <w:rPr>
          <w:rFonts w:ascii="Faustina" w:eastAsia="Arial" w:hAnsi="Faustina" w:cs="Arial"/>
          <w:sz w:val="22"/>
          <w:szCs w:val="22"/>
        </w:rPr>
        <w:t xml:space="preserve"> para la dirección, coordinación y ejecución de las tareas previstas en el presente Convenio, quedando expresamente establecida la prohibición de todo tipo de subcontratación, cesión y/o tercerización del objeto principal del mismo. Los recursos físicos necesarios para la realización de tareas de apoyo, procesamiento de i</w:t>
      </w:r>
      <w:r w:rsidR="00CD58B9">
        <w:rPr>
          <w:rFonts w:ascii="Faustina" w:eastAsia="Arial" w:hAnsi="Faustina" w:cs="Arial"/>
          <w:sz w:val="22"/>
          <w:szCs w:val="22"/>
        </w:rPr>
        <w:t>nformación u otras en sede de</w:t>
      </w:r>
      <w:r w:rsidRPr="00F45F2F">
        <w:rPr>
          <w:rFonts w:ascii="Faustina" w:eastAsia="Arial" w:hAnsi="Faustina" w:cs="Arial"/>
          <w:sz w:val="22"/>
          <w:szCs w:val="22"/>
        </w:rPr>
        <w:t xml:space="preserve"> "LA UNSAM" serán por cuenta y cargo de ésta. </w:t>
      </w:r>
    </w:p>
    <w:p w:rsidR="00A13F61" w:rsidRPr="00F45F2F" w:rsidRDefault="00A13F61">
      <w:pPr>
        <w:spacing w:line="360" w:lineRule="auto"/>
        <w:jc w:val="both"/>
        <w:rPr>
          <w:rFonts w:ascii="Faustina" w:eastAsia="Arial" w:hAnsi="Faustina" w:cs="Arial"/>
          <w:sz w:val="22"/>
          <w:szCs w:val="22"/>
        </w:rPr>
      </w:pPr>
    </w:p>
    <w:p w:rsidR="003111F9" w:rsidRPr="00F74E9F"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CLÁUSULA CUARTA – PLAZO: El presente se celebra por el término de </w:t>
      </w:r>
      <w:r w:rsidR="00CD58B9" w:rsidRPr="00CD58B9">
        <w:rPr>
          <w:rFonts w:ascii="Faustina" w:eastAsia="Arial" w:hAnsi="Faustina" w:cs="Arial"/>
          <w:sz w:val="22"/>
          <w:szCs w:val="22"/>
        </w:rPr>
        <w:t>DIECIOCHO (18)</w:t>
      </w:r>
      <w:r w:rsidR="00CD58B9">
        <w:rPr>
          <w:rFonts w:ascii="Faustina" w:eastAsia="Arial" w:hAnsi="Faustina" w:cs="Arial"/>
          <w:sz w:val="22"/>
          <w:szCs w:val="22"/>
        </w:rPr>
        <w:t xml:space="preserve"> </w:t>
      </w:r>
      <w:r w:rsidRPr="00F45F2F">
        <w:rPr>
          <w:rFonts w:ascii="Faustina" w:eastAsia="Arial" w:hAnsi="Faustina" w:cs="Arial"/>
          <w:sz w:val="22"/>
          <w:szCs w:val="22"/>
        </w:rPr>
        <w:t xml:space="preserve">meses consecutivos contados a partir </w:t>
      </w:r>
      <w:r w:rsidR="003023D2" w:rsidRPr="003023D2">
        <w:rPr>
          <w:rFonts w:ascii="Faustina" w:eastAsia="Arial" w:hAnsi="Faustina" w:cs="Arial"/>
          <w:sz w:val="22"/>
          <w:szCs w:val="22"/>
        </w:rPr>
        <w:t>de la puest</w:t>
      </w:r>
      <w:r w:rsidR="00CD58B9">
        <w:rPr>
          <w:rFonts w:ascii="Faustina" w:eastAsia="Arial" w:hAnsi="Faustina" w:cs="Arial"/>
          <w:sz w:val="22"/>
          <w:szCs w:val="22"/>
        </w:rPr>
        <w:t xml:space="preserve">a a disposición de los Estados </w:t>
      </w:r>
      <w:r w:rsidR="003023D2" w:rsidRPr="003023D2">
        <w:rPr>
          <w:rFonts w:ascii="Faustina" w:eastAsia="Arial" w:hAnsi="Faustina" w:cs="Arial"/>
          <w:sz w:val="22"/>
          <w:szCs w:val="22"/>
        </w:rPr>
        <w:t xml:space="preserve">Contables y la documentación </w:t>
      </w:r>
      <w:proofErr w:type="spellStart"/>
      <w:r w:rsidR="003023D2" w:rsidRPr="003023D2">
        <w:rPr>
          <w:rFonts w:ascii="Faustina" w:eastAsia="Arial" w:hAnsi="Faustina" w:cs="Arial"/>
          <w:sz w:val="22"/>
          <w:szCs w:val="22"/>
        </w:rPr>
        <w:t>respaldatoria</w:t>
      </w:r>
      <w:proofErr w:type="spellEnd"/>
      <w:r w:rsidR="008F7E09">
        <w:rPr>
          <w:rFonts w:ascii="Faustina" w:eastAsia="Arial" w:hAnsi="Faustina" w:cs="Arial"/>
          <w:sz w:val="22"/>
          <w:szCs w:val="22"/>
        </w:rPr>
        <w:t xml:space="preserve"> y según el cronograma de trabajo detallado en el </w:t>
      </w:r>
      <w:r w:rsidR="00CD58B9">
        <w:rPr>
          <w:rFonts w:ascii="Faustina" w:eastAsia="Arial" w:hAnsi="Faustina" w:cs="Arial"/>
          <w:sz w:val="22"/>
          <w:szCs w:val="22"/>
        </w:rPr>
        <w:t>ANEXO al presente</w:t>
      </w:r>
      <w:r w:rsidR="008F7E09">
        <w:rPr>
          <w:rFonts w:ascii="Faustina" w:eastAsia="Arial" w:hAnsi="Faustina" w:cs="Arial"/>
          <w:sz w:val="22"/>
          <w:szCs w:val="22"/>
        </w:rPr>
        <w:t>.</w:t>
      </w:r>
      <w:r w:rsidR="00CD58B9">
        <w:rPr>
          <w:rFonts w:ascii="Faustina" w:eastAsia="Arial" w:hAnsi="Faustina" w:cs="Arial"/>
          <w:sz w:val="22"/>
          <w:szCs w:val="22"/>
        </w:rPr>
        <w:t xml:space="preserve"> </w:t>
      </w:r>
      <w:r w:rsidRPr="00F45F2F">
        <w:rPr>
          <w:rFonts w:ascii="Faustina" w:eastAsia="Arial" w:hAnsi="Faustina" w:cs="Arial"/>
          <w:sz w:val="22"/>
          <w:szCs w:val="22"/>
        </w:rPr>
        <w:t xml:space="preserve">Asimismo, podrá ser rescindido por cualquiera de </w:t>
      </w:r>
      <w:r w:rsidR="00943C25">
        <w:rPr>
          <w:rFonts w:ascii="Faustina" w:eastAsia="Arial" w:hAnsi="Faustina" w:cs="Arial"/>
          <w:sz w:val="22"/>
          <w:szCs w:val="22"/>
        </w:rPr>
        <w:t>“LAS PARTES”</w:t>
      </w:r>
      <w:r w:rsidRPr="00F45F2F">
        <w:rPr>
          <w:rFonts w:ascii="Faustina" w:eastAsia="Arial" w:hAnsi="Faustina" w:cs="Arial"/>
          <w:sz w:val="22"/>
          <w:szCs w:val="22"/>
        </w:rPr>
        <w:t xml:space="preserve"> mediante notificación fehaciente a la otra parte y con una anticipación no menor a los TREINTA (30) días.</w:t>
      </w:r>
      <w:r w:rsidR="00B34B4D">
        <w:rPr>
          <w:rFonts w:ascii="Faustina" w:eastAsia="Arial" w:hAnsi="Faustina" w:cs="Arial"/>
          <w:sz w:val="22"/>
          <w:szCs w:val="22"/>
        </w:rPr>
        <w:t xml:space="preserve"> </w:t>
      </w:r>
      <w:r w:rsidR="00B34B4D" w:rsidRPr="00F74E9F">
        <w:rPr>
          <w:rFonts w:ascii="Faustina" w:eastAsia="Arial" w:hAnsi="Faustina" w:cs="Arial"/>
          <w:sz w:val="22"/>
          <w:szCs w:val="22"/>
        </w:rPr>
        <w:t>En el caso de rescisión por voluntad del IAF y por causas no imputables a la UNSAM, la desvinculación se producirá sin derecho a restitución de los fondos abonados. Si se produjera en cambio por voluntad de la UNSAM</w:t>
      </w:r>
      <w:r w:rsidR="00855CCF" w:rsidRPr="00F74E9F">
        <w:rPr>
          <w:rFonts w:ascii="Faustina" w:eastAsia="Arial" w:hAnsi="Faustina" w:cs="Arial"/>
          <w:sz w:val="22"/>
          <w:szCs w:val="22"/>
        </w:rPr>
        <w:t>, por causas no imputables al IAF, este tendrá derecho a la restitución de los fondos abonados por las tareas no cumplidas.</w:t>
      </w:r>
    </w:p>
    <w:p w:rsidR="00A13F61" w:rsidRPr="00F45F2F" w:rsidRDefault="00A13F61">
      <w:pPr>
        <w:spacing w:line="360" w:lineRule="auto"/>
        <w:jc w:val="both"/>
        <w:rPr>
          <w:rFonts w:ascii="Faustina" w:eastAsia="Arial" w:hAnsi="Faustina" w:cs="Arial"/>
          <w:sz w:val="22"/>
          <w:szCs w:val="22"/>
        </w:rPr>
      </w:pPr>
    </w:p>
    <w:p w:rsidR="00A13F61"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CLÁUSULA QUINTA – PRESUPUESTO: Los fondos necesarios para el desarrollo y ejecución del presente Convenio, durante el periodo de vigencia establecido en la Cláusula cuarta, serán aportados por </w:t>
      </w:r>
      <w:r w:rsidR="00CD58B9">
        <w:rPr>
          <w:rFonts w:ascii="Faustina" w:eastAsia="Arial" w:hAnsi="Faustina" w:cs="Arial"/>
          <w:sz w:val="22"/>
          <w:szCs w:val="22"/>
        </w:rPr>
        <w:t xml:space="preserve">el </w:t>
      </w:r>
      <w:r w:rsidRPr="00F45F2F">
        <w:rPr>
          <w:rFonts w:ascii="Faustina" w:eastAsia="Arial" w:hAnsi="Faustina" w:cs="Arial"/>
          <w:sz w:val="22"/>
          <w:szCs w:val="22"/>
        </w:rPr>
        <w:t>"</w:t>
      </w:r>
      <w:r w:rsidR="00636076">
        <w:rPr>
          <w:rFonts w:ascii="Faustina" w:eastAsia="Arial" w:hAnsi="Faustina" w:cs="Arial"/>
          <w:sz w:val="22"/>
          <w:szCs w:val="22"/>
        </w:rPr>
        <w:t>IAF</w:t>
      </w:r>
      <w:r w:rsidRPr="00F45F2F">
        <w:rPr>
          <w:rFonts w:ascii="Faustina" w:eastAsia="Arial" w:hAnsi="Faustina" w:cs="Arial"/>
          <w:sz w:val="22"/>
          <w:szCs w:val="22"/>
        </w:rPr>
        <w:t xml:space="preserve">" </w:t>
      </w:r>
      <w:r w:rsidR="00CD58B9">
        <w:rPr>
          <w:rFonts w:ascii="Faustina" w:eastAsia="Arial" w:hAnsi="Faustina" w:cs="Arial"/>
          <w:sz w:val="22"/>
          <w:szCs w:val="22"/>
        </w:rPr>
        <w:t>según el siguiente detalle</w:t>
      </w:r>
      <w:r w:rsidR="00636076">
        <w:rPr>
          <w:rFonts w:ascii="Faustina" w:eastAsia="Arial" w:hAnsi="Faustina" w:cs="Arial"/>
          <w:sz w:val="22"/>
          <w:szCs w:val="22"/>
        </w:rPr>
        <w:t>:</w:t>
      </w:r>
    </w:p>
    <w:p w:rsidR="00A13F61" w:rsidRDefault="00A13F61">
      <w:pPr>
        <w:spacing w:line="360" w:lineRule="auto"/>
        <w:jc w:val="both"/>
        <w:rPr>
          <w:rFonts w:ascii="Faustina" w:eastAsia="Arial" w:hAnsi="Faustina" w:cs="Arial"/>
          <w:sz w:val="22"/>
          <w:szCs w:val="22"/>
        </w:rPr>
      </w:pPr>
    </w:p>
    <w:p w:rsidR="00C32823" w:rsidRPr="00C32823" w:rsidRDefault="00C32823" w:rsidP="00CD58B9">
      <w:pPr>
        <w:pStyle w:val="Prrafodelista"/>
        <w:numPr>
          <w:ilvl w:val="0"/>
          <w:numId w:val="3"/>
        </w:numPr>
        <w:spacing w:line="360" w:lineRule="auto"/>
        <w:ind w:left="284" w:hanging="284"/>
        <w:jc w:val="both"/>
        <w:rPr>
          <w:rFonts w:ascii="Faustina" w:eastAsia="Arial" w:hAnsi="Faustina" w:cs="Arial"/>
          <w:sz w:val="22"/>
          <w:szCs w:val="22"/>
        </w:rPr>
      </w:pPr>
      <w:r w:rsidRPr="00C32823">
        <w:rPr>
          <w:rFonts w:ascii="Faustina" w:eastAsia="Arial" w:hAnsi="Faustina" w:cs="Arial"/>
          <w:sz w:val="22"/>
          <w:szCs w:val="22"/>
        </w:rPr>
        <w:t>Por los servicios de auditoria mencionados y correspondientes a estados contables de los ejercicios 2018 a 2021 se presupuesta la suma de</w:t>
      </w:r>
      <w:r w:rsidR="00CD58B9">
        <w:rPr>
          <w:rFonts w:ascii="Faustina" w:eastAsia="Arial" w:hAnsi="Faustina" w:cs="Arial"/>
          <w:sz w:val="22"/>
          <w:szCs w:val="22"/>
        </w:rPr>
        <w:t xml:space="preserve"> </w:t>
      </w:r>
      <w:r w:rsidR="00CD58B9" w:rsidRPr="00CD58B9">
        <w:rPr>
          <w:rFonts w:ascii="Faustina" w:eastAsia="Arial" w:hAnsi="Faustina" w:cs="Arial"/>
          <w:sz w:val="22"/>
          <w:szCs w:val="22"/>
        </w:rPr>
        <w:t>PESOS DIECINUEVE</w:t>
      </w:r>
      <w:r w:rsidR="00CD58B9">
        <w:rPr>
          <w:rFonts w:ascii="Faustina" w:eastAsia="Arial" w:hAnsi="Faustina" w:cs="Arial"/>
          <w:sz w:val="22"/>
          <w:szCs w:val="22"/>
        </w:rPr>
        <w:t xml:space="preserve"> </w:t>
      </w:r>
      <w:r w:rsidR="0021165E">
        <w:rPr>
          <w:rFonts w:ascii="Faustina" w:eastAsia="Arial" w:hAnsi="Faustina" w:cs="Arial"/>
          <w:sz w:val="22"/>
          <w:szCs w:val="22"/>
        </w:rPr>
        <w:t>MILLONES</w:t>
      </w:r>
      <w:r w:rsidR="00CD58B9">
        <w:rPr>
          <w:rFonts w:ascii="Faustina" w:eastAsia="Arial" w:hAnsi="Faustina" w:cs="Arial"/>
          <w:sz w:val="22"/>
          <w:szCs w:val="22"/>
        </w:rPr>
        <w:t xml:space="preserve"> SEISCIENTOS</w:t>
      </w:r>
      <w:r w:rsidR="0021165E">
        <w:rPr>
          <w:rFonts w:ascii="Faustina" w:eastAsia="Arial" w:hAnsi="Faustina" w:cs="Arial"/>
          <w:sz w:val="22"/>
          <w:szCs w:val="22"/>
        </w:rPr>
        <w:t xml:space="preserve"> MIL </w:t>
      </w:r>
      <w:r w:rsidR="00CD58B9" w:rsidRPr="00CD58B9">
        <w:rPr>
          <w:rFonts w:ascii="Faustina" w:eastAsia="Arial" w:hAnsi="Faustina" w:cs="Arial"/>
          <w:sz w:val="22"/>
          <w:szCs w:val="22"/>
        </w:rPr>
        <w:t>($ 19.600.000)</w:t>
      </w:r>
      <w:r w:rsidRPr="00C32823">
        <w:rPr>
          <w:rFonts w:ascii="Faustina" w:eastAsia="Arial" w:hAnsi="Faustina" w:cs="Arial"/>
          <w:sz w:val="22"/>
          <w:szCs w:val="22"/>
        </w:rPr>
        <w:t>, pagaderos de la siguiente forma</w:t>
      </w:r>
      <w:r w:rsidR="00CD58B9">
        <w:rPr>
          <w:rFonts w:ascii="Faustina" w:eastAsia="Arial" w:hAnsi="Faustina" w:cs="Arial"/>
          <w:sz w:val="22"/>
          <w:szCs w:val="22"/>
        </w:rPr>
        <w:t>:</w:t>
      </w:r>
    </w:p>
    <w:p w:rsidR="00C32823" w:rsidRPr="00C32823" w:rsidRDefault="00C32823" w:rsidP="00C32823">
      <w:pPr>
        <w:pStyle w:val="Prrafodelista"/>
        <w:numPr>
          <w:ilvl w:val="0"/>
          <w:numId w:val="1"/>
        </w:numPr>
        <w:spacing w:line="360" w:lineRule="auto"/>
        <w:jc w:val="both"/>
        <w:rPr>
          <w:rFonts w:ascii="Faustina" w:eastAsia="Arial" w:hAnsi="Faustina" w:cs="Arial"/>
          <w:sz w:val="22"/>
          <w:szCs w:val="22"/>
        </w:rPr>
      </w:pPr>
      <w:r w:rsidRPr="00C32823">
        <w:rPr>
          <w:rFonts w:ascii="Faustina" w:eastAsia="Arial" w:hAnsi="Faustina" w:cs="Arial"/>
          <w:sz w:val="22"/>
          <w:szCs w:val="22"/>
        </w:rPr>
        <w:t>25% en concepto de anticipo con el inicio de la tarea.</w:t>
      </w:r>
    </w:p>
    <w:p w:rsidR="00C32823" w:rsidRPr="00C32823" w:rsidRDefault="00C32823" w:rsidP="00C32823">
      <w:pPr>
        <w:pStyle w:val="Prrafodelista"/>
        <w:numPr>
          <w:ilvl w:val="0"/>
          <w:numId w:val="1"/>
        </w:numPr>
        <w:spacing w:line="360" w:lineRule="auto"/>
        <w:jc w:val="both"/>
        <w:rPr>
          <w:rFonts w:ascii="Faustina" w:eastAsia="Arial" w:hAnsi="Faustina" w:cs="Arial"/>
          <w:sz w:val="22"/>
          <w:szCs w:val="22"/>
        </w:rPr>
      </w:pPr>
      <w:r w:rsidRPr="00C32823">
        <w:rPr>
          <w:rFonts w:ascii="Faustina" w:eastAsia="Arial" w:hAnsi="Faustina" w:cs="Arial"/>
          <w:sz w:val="22"/>
          <w:szCs w:val="22"/>
        </w:rPr>
        <w:t xml:space="preserve">15% con la entrega del informe de </w:t>
      </w:r>
      <w:r w:rsidR="00CD58B9" w:rsidRPr="00C32823">
        <w:rPr>
          <w:rFonts w:ascii="Faustina" w:eastAsia="Arial" w:hAnsi="Faustina" w:cs="Arial"/>
          <w:sz w:val="22"/>
          <w:szCs w:val="22"/>
        </w:rPr>
        <w:t>auditoría</w:t>
      </w:r>
      <w:r w:rsidRPr="00C32823">
        <w:rPr>
          <w:rFonts w:ascii="Faustina" w:eastAsia="Arial" w:hAnsi="Faustina" w:cs="Arial"/>
          <w:sz w:val="22"/>
          <w:szCs w:val="22"/>
        </w:rPr>
        <w:t xml:space="preserve"> del ejercicio finalizado el 31 de diciembre de 2018.</w:t>
      </w:r>
    </w:p>
    <w:p w:rsidR="00C32823" w:rsidRPr="00C32823" w:rsidRDefault="00C32823" w:rsidP="00C32823">
      <w:pPr>
        <w:pStyle w:val="Prrafodelista"/>
        <w:numPr>
          <w:ilvl w:val="0"/>
          <w:numId w:val="1"/>
        </w:numPr>
        <w:spacing w:line="360" w:lineRule="auto"/>
        <w:jc w:val="both"/>
        <w:rPr>
          <w:rFonts w:ascii="Faustina" w:eastAsia="Arial" w:hAnsi="Faustina" w:cs="Arial"/>
          <w:sz w:val="22"/>
          <w:szCs w:val="22"/>
        </w:rPr>
      </w:pPr>
      <w:r w:rsidRPr="00C32823">
        <w:rPr>
          <w:rFonts w:ascii="Faustina" w:eastAsia="Arial" w:hAnsi="Faustina" w:cs="Arial"/>
          <w:sz w:val="22"/>
          <w:szCs w:val="22"/>
        </w:rPr>
        <w:t xml:space="preserve">15% con la entrega del informe de </w:t>
      </w:r>
      <w:r w:rsidR="00CD58B9" w:rsidRPr="00C32823">
        <w:rPr>
          <w:rFonts w:ascii="Faustina" w:eastAsia="Arial" w:hAnsi="Faustina" w:cs="Arial"/>
          <w:sz w:val="22"/>
          <w:szCs w:val="22"/>
        </w:rPr>
        <w:t>auditoría</w:t>
      </w:r>
      <w:r w:rsidRPr="00C32823">
        <w:rPr>
          <w:rFonts w:ascii="Faustina" w:eastAsia="Arial" w:hAnsi="Faustina" w:cs="Arial"/>
          <w:sz w:val="22"/>
          <w:szCs w:val="22"/>
        </w:rPr>
        <w:t xml:space="preserve"> del ejercicio finalizado el 31 de diciembre de 2019.</w:t>
      </w:r>
    </w:p>
    <w:p w:rsidR="00C32823" w:rsidRPr="00C32823" w:rsidRDefault="00C32823" w:rsidP="00C32823">
      <w:pPr>
        <w:pStyle w:val="Prrafodelista"/>
        <w:numPr>
          <w:ilvl w:val="0"/>
          <w:numId w:val="1"/>
        </w:numPr>
        <w:spacing w:line="360" w:lineRule="auto"/>
        <w:jc w:val="both"/>
        <w:rPr>
          <w:rFonts w:ascii="Faustina" w:eastAsia="Arial" w:hAnsi="Faustina" w:cs="Arial"/>
          <w:sz w:val="22"/>
          <w:szCs w:val="22"/>
        </w:rPr>
      </w:pPr>
      <w:r w:rsidRPr="00C32823">
        <w:rPr>
          <w:rFonts w:ascii="Faustina" w:eastAsia="Arial" w:hAnsi="Faustina" w:cs="Arial"/>
          <w:sz w:val="22"/>
          <w:szCs w:val="22"/>
        </w:rPr>
        <w:t xml:space="preserve">15% con la entrega del informe de </w:t>
      </w:r>
      <w:r w:rsidR="00CD58B9" w:rsidRPr="00C32823">
        <w:rPr>
          <w:rFonts w:ascii="Faustina" w:eastAsia="Arial" w:hAnsi="Faustina" w:cs="Arial"/>
          <w:sz w:val="22"/>
          <w:szCs w:val="22"/>
        </w:rPr>
        <w:t>auditoría</w:t>
      </w:r>
      <w:r w:rsidRPr="00C32823">
        <w:rPr>
          <w:rFonts w:ascii="Faustina" w:eastAsia="Arial" w:hAnsi="Faustina" w:cs="Arial"/>
          <w:sz w:val="22"/>
          <w:szCs w:val="22"/>
        </w:rPr>
        <w:t xml:space="preserve"> del ejercicio finalizado el 31 de diciembre de 2020.</w:t>
      </w:r>
    </w:p>
    <w:p w:rsidR="00C32823" w:rsidRPr="00C32823" w:rsidRDefault="00C32823" w:rsidP="00C32823">
      <w:pPr>
        <w:pStyle w:val="Prrafodelista"/>
        <w:numPr>
          <w:ilvl w:val="0"/>
          <w:numId w:val="1"/>
        </w:numPr>
        <w:spacing w:line="360" w:lineRule="auto"/>
        <w:jc w:val="both"/>
        <w:rPr>
          <w:rFonts w:ascii="Faustina" w:eastAsia="Arial" w:hAnsi="Faustina" w:cs="Arial"/>
          <w:sz w:val="22"/>
          <w:szCs w:val="22"/>
        </w:rPr>
      </w:pPr>
      <w:r w:rsidRPr="00C32823">
        <w:rPr>
          <w:rFonts w:ascii="Faustina" w:eastAsia="Arial" w:hAnsi="Faustina" w:cs="Arial"/>
          <w:sz w:val="22"/>
          <w:szCs w:val="22"/>
        </w:rPr>
        <w:t xml:space="preserve">30% con la entrega del informe de </w:t>
      </w:r>
      <w:r w:rsidR="00CD58B9" w:rsidRPr="00C32823">
        <w:rPr>
          <w:rFonts w:ascii="Faustina" w:eastAsia="Arial" w:hAnsi="Faustina" w:cs="Arial"/>
          <w:sz w:val="22"/>
          <w:szCs w:val="22"/>
        </w:rPr>
        <w:t>auditoría</w:t>
      </w:r>
      <w:r w:rsidRPr="00C32823">
        <w:rPr>
          <w:rFonts w:ascii="Faustina" w:eastAsia="Arial" w:hAnsi="Faustina" w:cs="Arial"/>
          <w:sz w:val="22"/>
          <w:szCs w:val="22"/>
        </w:rPr>
        <w:t xml:space="preserve"> del ejercicio finalizado el 31 de diciembre de 2021.</w:t>
      </w:r>
    </w:p>
    <w:p w:rsidR="00C32823" w:rsidRPr="00C32823" w:rsidRDefault="00C32823" w:rsidP="00C32823">
      <w:pPr>
        <w:spacing w:line="360" w:lineRule="auto"/>
        <w:jc w:val="both"/>
        <w:rPr>
          <w:rFonts w:ascii="Faustina" w:eastAsia="Arial" w:hAnsi="Faustina" w:cs="Arial"/>
          <w:sz w:val="22"/>
          <w:szCs w:val="22"/>
        </w:rPr>
      </w:pPr>
    </w:p>
    <w:p w:rsidR="00C32823" w:rsidRPr="00C32823" w:rsidRDefault="00C32823" w:rsidP="00CD58B9">
      <w:pPr>
        <w:pStyle w:val="Prrafodelista"/>
        <w:numPr>
          <w:ilvl w:val="0"/>
          <w:numId w:val="3"/>
        </w:numPr>
        <w:spacing w:line="360" w:lineRule="auto"/>
        <w:ind w:left="284" w:hanging="284"/>
        <w:jc w:val="both"/>
        <w:rPr>
          <w:rFonts w:ascii="Faustina" w:eastAsia="Arial" w:hAnsi="Faustina" w:cs="Arial"/>
          <w:sz w:val="22"/>
          <w:szCs w:val="22"/>
        </w:rPr>
      </w:pPr>
      <w:r w:rsidRPr="00C32823">
        <w:rPr>
          <w:rFonts w:ascii="Faustina" w:eastAsia="Arial" w:hAnsi="Faustina" w:cs="Arial"/>
          <w:sz w:val="22"/>
          <w:szCs w:val="22"/>
        </w:rPr>
        <w:t xml:space="preserve">Por los servicios de auditoria mencionados y correspondientes al estado contable del ejercicio a finalizar el 31 de diciembre de 2022 se presupuesta la suma de </w:t>
      </w:r>
      <w:r w:rsidR="00CD58B9">
        <w:rPr>
          <w:rFonts w:ascii="Faustina" w:eastAsia="Arial" w:hAnsi="Faustina" w:cs="Arial"/>
          <w:sz w:val="22"/>
          <w:szCs w:val="22"/>
        </w:rPr>
        <w:t>PESOS SEIS MILLONES QUINIENTOS MIL (</w:t>
      </w:r>
      <w:r w:rsidRPr="00C32823">
        <w:rPr>
          <w:rFonts w:ascii="Faustina" w:eastAsia="Arial" w:hAnsi="Faustina" w:cs="Arial"/>
          <w:sz w:val="22"/>
          <w:szCs w:val="22"/>
        </w:rPr>
        <w:t xml:space="preserve">$ </w:t>
      </w:r>
      <w:r w:rsidR="00BA75FD">
        <w:rPr>
          <w:rFonts w:ascii="Faustina" w:eastAsia="Arial" w:hAnsi="Faustina" w:cs="Arial"/>
          <w:sz w:val="22"/>
          <w:szCs w:val="22"/>
        </w:rPr>
        <w:t>6.500.000</w:t>
      </w:r>
      <w:r w:rsidR="00CD58B9">
        <w:rPr>
          <w:rFonts w:ascii="Faustina" w:eastAsia="Arial" w:hAnsi="Faustina" w:cs="Arial"/>
          <w:sz w:val="22"/>
          <w:szCs w:val="22"/>
        </w:rPr>
        <w:t>)</w:t>
      </w:r>
      <w:r w:rsidRPr="00C32823">
        <w:rPr>
          <w:rFonts w:ascii="Faustina" w:eastAsia="Arial" w:hAnsi="Faustina" w:cs="Arial"/>
          <w:sz w:val="22"/>
          <w:szCs w:val="22"/>
        </w:rPr>
        <w:t>, pagaderos de la siguiente forma</w:t>
      </w:r>
      <w:r w:rsidR="00CD58B9">
        <w:rPr>
          <w:rFonts w:ascii="Faustina" w:eastAsia="Arial" w:hAnsi="Faustina" w:cs="Arial"/>
          <w:sz w:val="22"/>
          <w:szCs w:val="22"/>
        </w:rPr>
        <w:t>:</w:t>
      </w:r>
    </w:p>
    <w:p w:rsidR="00C32823" w:rsidRPr="00C32823" w:rsidRDefault="00C32823" w:rsidP="00C32823">
      <w:pPr>
        <w:pStyle w:val="Prrafodelista"/>
        <w:numPr>
          <w:ilvl w:val="0"/>
          <w:numId w:val="7"/>
        </w:numPr>
        <w:spacing w:line="360" w:lineRule="auto"/>
        <w:jc w:val="both"/>
        <w:rPr>
          <w:rFonts w:ascii="Faustina" w:eastAsia="Arial" w:hAnsi="Faustina" w:cs="Arial"/>
          <w:sz w:val="22"/>
          <w:szCs w:val="22"/>
        </w:rPr>
      </w:pPr>
      <w:r w:rsidRPr="00C32823">
        <w:rPr>
          <w:rFonts w:ascii="Faustina" w:eastAsia="Arial" w:hAnsi="Faustina" w:cs="Arial"/>
          <w:sz w:val="22"/>
          <w:szCs w:val="22"/>
        </w:rPr>
        <w:t>25% en concepto de anticipo con el inicio de la tarea.</w:t>
      </w:r>
    </w:p>
    <w:p w:rsidR="00C32823" w:rsidRPr="00C32823" w:rsidRDefault="00C32823" w:rsidP="00C32823">
      <w:pPr>
        <w:pStyle w:val="Prrafodelista"/>
        <w:numPr>
          <w:ilvl w:val="0"/>
          <w:numId w:val="7"/>
        </w:numPr>
        <w:spacing w:line="360" w:lineRule="auto"/>
        <w:jc w:val="both"/>
        <w:rPr>
          <w:rFonts w:ascii="Faustina" w:eastAsia="Arial" w:hAnsi="Faustina" w:cs="Arial"/>
          <w:sz w:val="22"/>
          <w:szCs w:val="22"/>
        </w:rPr>
      </w:pPr>
      <w:r w:rsidRPr="00C32823">
        <w:rPr>
          <w:rFonts w:ascii="Faustina" w:eastAsia="Arial" w:hAnsi="Faustina" w:cs="Arial"/>
          <w:sz w:val="22"/>
          <w:szCs w:val="22"/>
        </w:rPr>
        <w:t xml:space="preserve">30% con la entrega de un informe de avance a los </w:t>
      </w:r>
      <w:r w:rsidR="00855CCF">
        <w:rPr>
          <w:rFonts w:ascii="Faustina" w:eastAsia="Arial" w:hAnsi="Faustina" w:cs="Arial"/>
          <w:sz w:val="22"/>
          <w:szCs w:val="22"/>
        </w:rPr>
        <w:t>CUARENTA Y CI</w:t>
      </w:r>
      <w:r w:rsidR="00CD58B9">
        <w:rPr>
          <w:rFonts w:ascii="Faustina" w:eastAsia="Arial" w:hAnsi="Faustina" w:cs="Arial"/>
          <w:sz w:val="22"/>
          <w:szCs w:val="22"/>
        </w:rPr>
        <w:t>NCO (</w:t>
      </w:r>
      <w:r w:rsidRPr="00C32823">
        <w:rPr>
          <w:rFonts w:ascii="Faustina" w:eastAsia="Arial" w:hAnsi="Faustina" w:cs="Arial"/>
          <w:sz w:val="22"/>
          <w:szCs w:val="22"/>
        </w:rPr>
        <w:t>45</w:t>
      </w:r>
      <w:r w:rsidR="00CD58B9">
        <w:rPr>
          <w:rFonts w:ascii="Faustina" w:eastAsia="Arial" w:hAnsi="Faustina" w:cs="Arial"/>
          <w:sz w:val="22"/>
          <w:szCs w:val="22"/>
        </w:rPr>
        <w:t>)</w:t>
      </w:r>
      <w:r w:rsidRPr="00C32823">
        <w:rPr>
          <w:rFonts w:ascii="Faustina" w:eastAsia="Arial" w:hAnsi="Faustina" w:cs="Arial"/>
          <w:sz w:val="22"/>
          <w:szCs w:val="22"/>
        </w:rPr>
        <w:t xml:space="preserve"> días.</w:t>
      </w:r>
    </w:p>
    <w:p w:rsidR="00C32823" w:rsidRPr="00C32823" w:rsidRDefault="00C32823" w:rsidP="00C32823">
      <w:pPr>
        <w:pStyle w:val="Prrafodelista"/>
        <w:numPr>
          <w:ilvl w:val="0"/>
          <w:numId w:val="7"/>
        </w:numPr>
        <w:spacing w:line="360" w:lineRule="auto"/>
        <w:jc w:val="both"/>
        <w:rPr>
          <w:rFonts w:ascii="Faustina" w:eastAsia="Arial" w:hAnsi="Faustina" w:cs="Arial"/>
          <w:sz w:val="22"/>
          <w:szCs w:val="22"/>
        </w:rPr>
      </w:pPr>
      <w:r w:rsidRPr="00C32823">
        <w:rPr>
          <w:rFonts w:ascii="Faustina" w:eastAsia="Arial" w:hAnsi="Faustina" w:cs="Arial"/>
          <w:sz w:val="22"/>
          <w:szCs w:val="22"/>
        </w:rPr>
        <w:t xml:space="preserve">45% con la entrega del informe de </w:t>
      </w:r>
      <w:r w:rsidR="00CD58B9" w:rsidRPr="00C32823">
        <w:rPr>
          <w:rFonts w:ascii="Faustina" w:eastAsia="Arial" w:hAnsi="Faustina" w:cs="Arial"/>
          <w:sz w:val="22"/>
          <w:szCs w:val="22"/>
        </w:rPr>
        <w:t>auditoría</w:t>
      </w:r>
      <w:r w:rsidRPr="00C32823">
        <w:rPr>
          <w:rFonts w:ascii="Faustina" w:eastAsia="Arial" w:hAnsi="Faustina" w:cs="Arial"/>
          <w:sz w:val="22"/>
          <w:szCs w:val="22"/>
        </w:rPr>
        <w:t xml:space="preserve"> del ejercicio finalizado el 31 de diciembre de 2022.</w:t>
      </w:r>
    </w:p>
    <w:p w:rsidR="00C32823" w:rsidRPr="00C32823" w:rsidRDefault="00C32823" w:rsidP="00C32823">
      <w:pPr>
        <w:spacing w:line="360" w:lineRule="auto"/>
        <w:jc w:val="both"/>
        <w:rPr>
          <w:rFonts w:ascii="Faustina" w:eastAsia="Arial" w:hAnsi="Faustina" w:cs="Arial"/>
          <w:sz w:val="22"/>
          <w:szCs w:val="22"/>
        </w:rPr>
      </w:pPr>
    </w:p>
    <w:p w:rsidR="00C32823" w:rsidRPr="009268FC" w:rsidRDefault="00C32823" w:rsidP="009268FC">
      <w:pPr>
        <w:pStyle w:val="Prrafodelista"/>
        <w:numPr>
          <w:ilvl w:val="0"/>
          <w:numId w:val="3"/>
        </w:numPr>
        <w:spacing w:line="360" w:lineRule="auto"/>
        <w:ind w:left="284" w:hanging="284"/>
        <w:jc w:val="both"/>
        <w:rPr>
          <w:rFonts w:ascii="Faustina" w:eastAsia="Arial" w:hAnsi="Faustina" w:cs="Arial"/>
          <w:sz w:val="22"/>
          <w:szCs w:val="22"/>
        </w:rPr>
      </w:pPr>
      <w:r w:rsidRPr="00C32823">
        <w:rPr>
          <w:rFonts w:ascii="Faustina" w:eastAsia="Arial" w:hAnsi="Faustina" w:cs="Arial"/>
          <w:sz w:val="22"/>
          <w:szCs w:val="22"/>
        </w:rPr>
        <w:t xml:space="preserve">Por los servicios de auditoria mencionados y correspondientes al estado contable del ejercicio a finalizar el 31 de diciembre de </w:t>
      </w:r>
      <w:proofErr w:type="gramStart"/>
      <w:r w:rsidRPr="00C32823">
        <w:rPr>
          <w:rFonts w:ascii="Faustina" w:eastAsia="Arial" w:hAnsi="Faustina" w:cs="Arial"/>
          <w:sz w:val="22"/>
          <w:szCs w:val="22"/>
        </w:rPr>
        <w:t xml:space="preserve">2023 </w:t>
      </w:r>
      <w:r w:rsidR="009268FC">
        <w:rPr>
          <w:rFonts w:ascii="Faustina" w:eastAsia="Arial" w:hAnsi="Faustina" w:cs="Arial"/>
          <w:sz w:val="22"/>
          <w:szCs w:val="22"/>
        </w:rPr>
        <w:t>,</w:t>
      </w:r>
      <w:proofErr w:type="gramEnd"/>
      <w:r w:rsidR="009268FC">
        <w:rPr>
          <w:rFonts w:ascii="Faustina" w:eastAsia="Arial" w:hAnsi="Faustina" w:cs="Arial"/>
          <w:sz w:val="22"/>
          <w:szCs w:val="22"/>
        </w:rPr>
        <w:t xml:space="preserve"> </w:t>
      </w:r>
      <w:r w:rsidR="0050277C" w:rsidRPr="009268FC">
        <w:rPr>
          <w:rFonts w:ascii="Faustina" w:eastAsia="Arial" w:hAnsi="Faustina" w:cs="Arial"/>
          <w:sz w:val="22"/>
          <w:szCs w:val="22"/>
        </w:rPr>
        <w:t>las partes negociarán, durante el mes de agosto de 2023 el valor de las tareas a desarrollar lo que será actuado en un</w:t>
      </w:r>
      <w:r w:rsidR="009268FC">
        <w:rPr>
          <w:rFonts w:ascii="Faustina" w:eastAsia="Arial" w:hAnsi="Faustina" w:cs="Arial"/>
          <w:sz w:val="22"/>
          <w:szCs w:val="22"/>
        </w:rPr>
        <w:t xml:space="preserve">a Adenda al </w:t>
      </w:r>
      <w:r w:rsidR="0050277C" w:rsidRPr="009268FC">
        <w:rPr>
          <w:rFonts w:ascii="Faustina" w:eastAsia="Arial" w:hAnsi="Faustina" w:cs="Arial"/>
          <w:sz w:val="22"/>
          <w:szCs w:val="22"/>
        </w:rPr>
        <w:t xml:space="preserve"> convenio específico </w:t>
      </w:r>
      <w:r w:rsidR="009268FC">
        <w:rPr>
          <w:rFonts w:ascii="Faustina" w:eastAsia="Arial" w:hAnsi="Faustina" w:cs="Arial"/>
          <w:sz w:val="22"/>
          <w:szCs w:val="22"/>
        </w:rPr>
        <w:t>.</w:t>
      </w:r>
    </w:p>
    <w:p w:rsidR="00C32823" w:rsidRDefault="00C32823">
      <w:pPr>
        <w:spacing w:line="360" w:lineRule="auto"/>
        <w:jc w:val="both"/>
        <w:rPr>
          <w:rFonts w:ascii="Faustina" w:eastAsia="Arial" w:hAnsi="Faustina" w:cs="Arial"/>
          <w:sz w:val="22"/>
          <w:szCs w:val="22"/>
        </w:rPr>
      </w:pPr>
    </w:p>
    <w:p w:rsidR="003111F9"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"LA UNSAM" emitirá las facturas correspondientes a cada pago, las cuales serán abonadas por "</w:t>
      </w:r>
      <w:r w:rsidR="00636076">
        <w:rPr>
          <w:rFonts w:ascii="Faustina" w:eastAsia="Arial" w:hAnsi="Faustina" w:cs="Arial"/>
          <w:sz w:val="22"/>
          <w:szCs w:val="22"/>
        </w:rPr>
        <w:t>IAF</w:t>
      </w:r>
      <w:r w:rsidRPr="00F45F2F">
        <w:rPr>
          <w:rFonts w:ascii="Faustina" w:eastAsia="Arial" w:hAnsi="Faustina" w:cs="Arial"/>
          <w:sz w:val="22"/>
          <w:szCs w:val="22"/>
        </w:rPr>
        <w:t xml:space="preserve">" en el plazo de QUINCE (15) días hábiles administrativos de recibidas las mismas, mediante transferencia bancaria a la cuenta de la Universidad Nacional de General San Martín, Cuenta Corriente N2 313235/89 de la SUCURSAL N° 3245 del BANCO DE LA NACIÓN ARGENTINA, CBU 01100402-20000313235894, Denominación: Universidad Nacional Gral. San Martín Tesoro Propio, CUIT: 30-66247391-6. </w:t>
      </w:r>
    </w:p>
    <w:p w:rsidR="00A13F61" w:rsidRPr="00F45F2F" w:rsidRDefault="00A13F61">
      <w:pPr>
        <w:spacing w:line="360" w:lineRule="auto"/>
        <w:jc w:val="both"/>
        <w:rPr>
          <w:rFonts w:ascii="Faustina" w:eastAsia="Arial" w:hAnsi="Faustina" w:cs="Arial"/>
          <w:sz w:val="22"/>
          <w:szCs w:val="22"/>
        </w:rPr>
      </w:pPr>
    </w:p>
    <w:p w:rsidR="003111F9"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CLÁUSULA SEXTA- CONFIDENCIALIDAD: </w:t>
      </w:r>
      <w:r w:rsidR="00714BC9">
        <w:rPr>
          <w:rFonts w:ascii="Faustina" w:eastAsia="Arial" w:hAnsi="Faustina" w:cs="Arial"/>
          <w:sz w:val="22"/>
          <w:szCs w:val="22"/>
        </w:rPr>
        <w:t>“LAS PARTES”</w:t>
      </w:r>
      <w:r w:rsidRPr="00F45F2F">
        <w:rPr>
          <w:rFonts w:ascii="Faustina" w:eastAsia="Arial" w:hAnsi="Faustina" w:cs="Arial"/>
          <w:sz w:val="22"/>
          <w:szCs w:val="22"/>
        </w:rPr>
        <w:t xml:space="preserve"> se obligan a conservar la confidencialidad sobre cualquiera de los aspectos de los que puedan tomar conocimiento en aplicación del presente Convenio, obligación que continuará vigente luego de su extinción, cualquiera sea su causa. El deber de confidencialidad incluye a todas las personas actuantes respecto a los datos de</w:t>
      </w:r>
      <w:r w:rsidR="00714BC9">
        <w:rPr>
          <w:rFonts w:ascii="Faustina" w:eastAsia="Arial" w:hAnsi="Faustina" w:cs="Arial"/>
          <w:sz w:val="22"/>
          <w:szCs w:val="22"/>
        </w:rPr>
        <w:t>l</w:t>
      </w:r>
      <w:r w:rsidRPr="00F45F2F">
        <w:rPr>
          <w:rFonts w:ascii="Faustina" w:eastAsia="Arial" w:hAnsi="Faustina" w:cs="Arial"/>
          <w:sz w:val="22"/>
          <w:szCs w:val="22"/>
        </w:rPr>
        <w:t xml:space="preserve"> "</w:t>
      </w:r>
      <w:r w:rsidR="00636076">
        <w:rPr>
          <w:rFonts w:ascii="Faustina" w:eastAsia="Arial" w:hAnsi="Faustina" w:cs="Arial"/>
          <w:sz w:val="22"/>
          <w:szCs w:val="22"/>
        </w:rPr>
        <w:t>IAF</w:t>
      </w:r>
      <w:r w:rsidRPr="00F45F2F">
        <w:rPr>
          <w:rFonts w:ascii="Faustina" w:eastAsia="Arial" w:hAnsi="Faustina" w:cs="Arial"/>
          <w:sz w:val="22"/>
          <w:szCs w:val="22"/>
        </w:rPr>
        <w:t xml:space="preserve">”, a los que pudieran acceder en la intervención que les corresponda y la misma se mantendrá durante la vigencia del presente instrumento y perdurará sine die aún en caso de rescisión o conclusión por cualquier otra causa. </w:t>
      </w:r>
    </w:p>
    <w:p w:rsidR="00A13F61" w:rsidRPr="00F45F2F" w:rsidRDefault="00A13F61">
      <w:pPr>
        <w:spacing w:line="360" w:lineRule="auto"/>
        <w:jc w:val="both"/>
        <w:rPr>
          <w:rFonts w:ascii="Faustina" w:eastAsia="Arial" w:hAnsi="Faustina" w:cs="Arial"/>
          <w:sz w:val="22"/>
          <w:szCs w:val="22"/>
        </w:rPr>
      </w:pPr>
    </w:p>
    <w:p w:rsidR="003111F9"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CLÁUSULA SÉPTIMA – AUTONOMÍA/INDEMNIDAD: </w:t>
      </w:r>
      <w:r w:rsidR="00714BC9">
        <w:rPr>
          <w:rFonts w:ascii="Faustina" w:eastAsia="Arial" w:hAnsi="Faustina" w:cs="Arial"/>
          <w:sz w:val="22"/>
          <w:szCs w:val="22"/>
        </w:rPr>
        <w:t>“LAS PARTES”</w:t>
      </w:r>
      <w:r w:rsidRPr="00F45F2F">
        <w:rPr>
          <w:rFonts w:ascii="Faustina" w:eastAsia="Arial" w:hAnsi="Faustina" w:cs="Arial"/>
          <w:sz w:val="22"/>
          <w:szCs w:val="22"/>
        </w:rPr>
        <w:t xml:space="preserve"> en este Convenio son entidades independientes. El presente no constituye ninguna forma de asociación, ni transitoria ni permanente. Ninguna parte adquiere obligaciones o derechos distintos de los explícitamente indicados en este Convenio, ni tampoco tiene la representación de la otra parte a ningún efecto. “LA UNSAM</w:t>
      </w:r>
      <w:r w:rsidR="00714BC9">
        <w:rPr>
          <w:rFonts w:ascii="Faustina" w:eastAsia="Arial" w:hAnsi="Faustina" w:cs="Arial"/>
          <w:sz w:val="22"/>
          <w:szCs w:val="22"/>
        </w:rPr>
        <w:t>”</w:t>
      </w:r>
      <w:r w:rsidRPr="00F45F2F">
        <w:rPr>
          <w:rFonts w:ascii="Faustina" w:eastAsia="Arial" w:hAnsi="Faustina" w:cs="Arial"/>
          <w:sz w:val="22"/>
          <w:szCs w:val="22"/>
        </w:rPr>
        <w:t xml:space="preserve"> será la única responsable por el total y debido cumplimiento de las obligaciones </w:t>
      </w:r>
      <w:r w:rsidRPr="00F45F2F">
        <w:rPr>
          <w:rFonts w:ascii="Faustina" w:eastAsia="Arial" w:hAnsi="Faustina" w:cs="Arial"/>
          <w:sz w:val="22"/>
          <w:szCs w:val="22"/>
        </w:rPr>
        <w:lastRenderedPageBreak/>
        <w:t>asumidas por ella para con todo aquel que sea contratado en el marco del presente Convenio. Por lo tanto, mantendrá indemne a</w:t>
      </w:r>
      <w:r w:rsidR="00714BC9">
        <w:rPr>
          <w:rFonts w:ascii="Faustina" w:eastAsia="Arial" w:hAnsi="Faustina" w:cs="Arial"/>
          <w:sz w:val="22"/>
          <w:szCs w:val="22"/>
        </w:rPr>
        <w:t>l “</w:t>
      </w:r>
      <w:r w:rsidR="003023D2">
        <w:rPr>
          <w:rFonts w:ascii="Faustina" w:eastAsia="Arial" w:hAnsi="Faustina" w:cs="Arial"/>
          <w:sz w:val="22"/>
          <w:szCs w:val="22"/>
        </w:rPr>
        <w:t>IAF</w:t>
      </w:r>
      <w:r w:rsidRPr="00F45F2F">
        <w:rPr>
          <w:rFonts w:ascii="Faustina" w:eastAsia="Arial" w:hAnsi="Faustina" w:cs="Arial"/>
          <w:sz w:val="22"/>
          <w:szCs w:val="22"/>
        </w:rPr>
        <w:t xml:space="preserve">” por cualquier reclamo que le pudieran efectuar las personas contratadas, por tareas vinculadas a la </w:t>
      </w:r>
      <w:r w:rsidR="00714BC9">
        <w:rPr>
          <w:rFonts w:ascii="Faustina" w:eastAsia="Arial" w:hAnsi="Faustina" w:cs="Arial"/>
          <w:sz w:val="22"/>
          <w:szCs w:val="22"/>
        </w:rPr>
        <w:t>ejecución del mismo.</w:t>
      </w:r>
    </w:p>
    <w:p w:rsidR="00A13F61" w:rsidRPr="00F45F2F" w:rsidRDefault="00A13F61">
      <w:pPr>
        <w:spacing w:line="360" w:lineRule="auto"/>
        <w:jc w:val="both"/>
        <w:rPr>
          <w:rFonts w:ascii="Faustina" w:eastAsia="Arial" w:hAnsi="Faustina" w:cs="Arial"/>
          <w:sz w:val="22"/>
          <w:szCs w:val="22"/>
        </w:rPr>
      </w:pPr>
    </w:p>
    <w:p w:rsidR="003111F9" w:rsidRPr="00F45F2F"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CLÁUSULA OCTAVA – SOLUCIÓN DE CONTROVERSIAS: </w:t>
      </w:r>
      <w:r w:rsidR="00714BC9">
        <w:rPr>
          <w:rFonts w:ascii="Faustina" w:eastAsia="Arial" w:hAnsi="Faustina" w:cs="Arial"/>
          <w:sz w:val="22"/>
          <w:szCs w:val="22"/>
        </w:rPr>
        <w:t>“</w:t>
      </w:r>
      <w:r w:rsidRPr="00F45F2F">
        <w:rPr>
          <w:rFonts w:ascii="Faustina" w:eastAsia="Arial" w:hAnsi="Faustina" w:cs="Arial"/>
          <w:sz w:val="22"/>
          <w:szCs w:val="22"/>
        </w:rPr>
        <w:t>LAS PARTES</w:t>
      </w:r>
      <w:r w:rsidR="00714BC9">
        <w:rPr>
          <w:rFonts w:ascii="Faustina" w:eastAsia="Arial" w:hAnsi="Faustina" w:cs="Arial"/>
          <w:sz w:val="22"/>
          <w:szCs w:val="22"/>
        </w:rPr>
        <w:t>”</w:t>
      </w:r>
      <w:r w:rsidRPr="00F45F2F">
        <w:rPr>
          <w:rFonts w:ascii="Faustina" w:eastAsia="Arial" w:hAnsi="Faustina" w:cs="Arial"/>
          <w:sz w:val="22"/>
          <w:szCs w:val="22"/>
        </w:rPr>
        <w:t xml:space="preserve"> observarán en sus relaciones el mayor espíritu de colaboración y las mismas se basarán en los principios de buena fe y cordialidad en atención a los fines perseguidos en el presente Convenio. En caso de surgir controversias entre </w:t>
      </w:r>
      <w:r w:rsidR="00714BC9">
        <w:rPr>
          <w:rFonts w:ascii="Faustina" w:eastAsia="Arial" w:hAnsi="Faustina" w:cs="Arial"/>
          <w:sz w:val="22"/>
          <w:szCs w:val="22"/>
        </w:rPr>
        <w:t>“LAS PARTES”</w:t>
      </w:r>
      <w:r w:rsidRPr="00F45F2F">
        <w:rPr>
          <w:rFonts w:ascii="Faustina" w:eastAsia="Arial" w:hAnsi="Faustina" w:cs="Arial"/>
          <w:sz w:val="22"/>
          <w:szCs w:val="22"/>
        </w:rPr>
        <w:t xml:space="preserve"> relativas a este Convenio o a su interpretación, implementación, ejecución, o extinción, se dirimirán, en primera instancia, de mutuo acuerdo por medio de una comisión arbitral formada por los representantes de </w:t>
      </w:r>
      <w:r w:rsidR="00714BC9">
        <w:rPr>
          <w:rFonts w:ascii="Faustina" w:eastAsia="Arial" w:hAnsi="Faustina" w:cs="Arial"/>
          <w:sz w:val="22"/>
          <w:szCs w:val="22"/>
        </w:rPr>
        <w:t>“LAS PARTES”</w:t>
      </w:r>
      <w:r w:rsidRPr="00F45F2F">
        <w:rPr>
          <w:rFonts w:ascii="Faustina" w:eastAsia="Arial" w:hAnsi="Faustina" w:cs="Arial"/>
          <w:sz w:val="22"/>
          <w:szCs w:val="22"/>
        </w:rPr>
        <w:t xml:space="preserve">. A todos los efectos legales, </w:t>
      </w:r>
      <w:r w:rsidR="00714BC9">
        <w:rPr>
          <w:rFonts w:ascii="Faustina" w:eastAsia="Arial" w:hAnsi="Faustina" w:cs="Arial"/>
          <w:sz w:val="22"/>
          <w:szCs w:val="22"/>
        </w:rPr>
        <w:t>“LAS PARTES”</w:t>
      </w:r>
      <w:r w:rsidRPr="00F45F2F">
        <w:rPr>
          <w:rFonts w:ascii="Faustina" w:eastAsia="Arial" w:hAnsi="Faustina" w:cs="Arial"/>
          <w:sz w:val="22"/>
          <w:szCs w:val="22"/>
        </w:rPr>
        <w:t xml:space="preserve"> constituyen domicilios en los indicados en el encabezado, donde se tendrán por válidas y eficaces todas las notificaciones y comunicaciones que se cursaren, y acuerdan someterse a la jurisdicción y competencia de los Tribunales en lo Contencioso Administrativo Federal de la Ciudad Autónoma de Buenos Aires, con expresa renuncia a cualquier otro fuero y/o jurisdicción que pudiera corresponderles.</w:t>
      </w:r>
    </w:p>
    <w:p w:rsidR="003111F9" w:rsidRPr="00F45F2F" w:rsidRDefault="003111F9">
      <w:pPr>
        <w:spacing w:line="360" w:lineRule="auto"/>
        <w:jc w:val="both"/>
        <w:rPr>
          <w:rFonts w:ascii="Faustina" w:eastAsia="Arial" w:hAnsi="Faustina" w:cs="Arial"/>
          <w:sz w:val="22"/>
          <w:szCs w:val="22"/>
        </w:rPr>
      </w:pPr>
    </w:p>
    <w:p w:rsidR="003111F9" w:rsidRPr="00F45F2F" w:rsidRDefault="003E0CBC">
      <w:pPr>
        <w:spacing w:line="360" w:lineRule="auto"/>
        <w:jc w:val="both"/>
        <w:rPr>
          <w:rFonts w:ascii="Faustina" w:eastAsia="Arial" w:hAnsi="Faustina" w:cs="Arial"/>
          <w:sz w:val="22"/>
          <w:szCs w:val="22"/>
        </w:rPr>
      </w:pPr>
      <w:r w:rsidRPr="00F45F2F">
        <w:rPr>
          <w:rFonts w:ascii="Faustina" w:eastAsia="Arial" w:hAnsi="Faustina" w:cs="Arial"/>
          <w:sz w:val="22"/>
          <w:szCs w:val="22"/>
        </w:rPr>
        <w:t xml:space="preserve">En prueba de conformidad se firman </w:t>
      </w:r>
      <w:r w:rsidR="00714BC9">
        <w:rPr>
          <w:rFonts w:ascii="Faustina" w:eastAsia="Arial" w:hAnsi="Faustina" w:cs="Arial"/>
          <w:sz w:val="22"/>
          <w:szCs w:val="22"/>
        </w:rPr>
        <w:t xml:space="preserve">DOS </w:t>
      </w:r>
      <w:r w:rsidR="00A13F61">
        <w:rPr>
          <w:rFonts w:ascii="Faustina" w:eastAsia="Arial" w:hAnsi="Faustina" w:cs="Arial"/>
          <w:sz w:val="22"/>
          <w:szCs w:val="22"/>
        </w:rPr>
        <w:t>(2</w:t>
      </w:r>
      <w:r w:rsidRPr="00F45F2F">
        <w:rPr>
          <w:rFonts w:ascii="Faustina" w:eastAsia="Arial" w:hAnsi="Faustina" w:cs="Arial"/>
          <w:sz w:val="22"/>
          <w:szCs w:val="22"/>
        </w:rPr>
        <w:t>) ejemplares de un mismo tenor y a un solo efecto, a los   días del mes de                 del año 2022.</w:t>
      </w:r>
    </w:p>
    <w:p w:rsidR="003111F9" w:rsidRDefault="003111F9">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Default="009268FC">
      <w:pPr>
        <w:spacing w:line="360" w:lineRule="auto"/>
        <w:jc w:val="both"/>
        <w:rPr>
          <w:rFonts w:ascii="Faustina" w:eastAsia="Arial" w:hAnsi="Faustina" w:cs="Arial"/>
          <w:sz w:val="22"/>
          <w:szCs w:val="22"/>
        </w:rPr>
      </w:pPr>
    </w:p>
    <w:p w:rsidR="009268FC" w:rsidRPr="00F45F2F" w:rsidRDefault="009268FC">
      <w:pPr>
        <w:spacing w:line="360" w:lineRule="auto"/>
        <w:jc w:val="both"/>
        <w:rPr>
          <w:rFonts w:ascii="Faustina" w:eastAsia="Arial" w:hAnsi="Faustina" w:cs="Arial"/>
          <w:sz w:val="22"/>
          <w:szCs w:val="22"/>
        </w:rPr>
      </w:pPr>
    </w:p>
    <w:p w:rsidR="00A13F61" w:rsidRDefault="003E0CBC" w:rsidP="00927498">
      <w:pPr>
        <w:spacing w:line="360" w:lineRule="auto"/>
        <w:jc w:val="center"/>
        <w:rPr>
          <w:rFonts w:ascii="Faustina" w:eastAsia="Arial" w:hAnsi="Faustina" w:cs="Arial"/>
          <w:sz w:val="22"/>
          <w:szCs w:val="22"/>
        </w:rPr>
      </w:pPr>
      <w:r w:rsidRPr="00F45F2F">
        <w:rPr>
          <w:rFonts w:ascii="Faustina" w:eastAsia="Arial" w:hAnsi="Faustina" w:cs="Arial"/>
          <w:sz w:val="22"/>
          <w:szCs w:val="22"/>
        </w:rPr>
        <w:lastRenderedPageBreak/>
        <w:t xml:space="preserve">ANEXO AL CONVENIO ESPECÍFICO ENTRE </w:t>
      </w:r>
      <w:r w:rsidR="003023D2" w:rsidRPr="003023D2">
        <w:rPr>
          <w:rFonts w:ascii="Faustina" w:eastAsia="Arial" w:hAnsi="Faustina" w:cs="Arial"/>
          <w:sz w:val="22"/>
          <w:szCs w:val="22"/>
        </w:rPr>
        <w:t xml:space="preserve">EL INSTITUTO DE AYUDA FINANCIERA PARA PAGO DE RETIROS Y PENSIONES MILITARES </w:t>
      </w:r>
      <w:r w:rsidRPr="00F45F2F">
        <w:rPr>
          <w:rFonts w:ascii="Faustina" w:eastAsia="Arial" w:hAnsi="Faustina" w:cs="Arial"/>
          <w:sz w:val="22"/>
          <w:szCs w:val="22"/>
        </w:rPr>
        <w:t>y LA UNIVERSIDAD NACIONAL DE SAN MARTÍN</w:t>
      </w:r>
    </w:p>
    <w:p w:rsidR="00927498" w:rsidRDefault="00927498" w:rsidP="00927498">
      <w:pPr>
        <w:spacing w:line="360" w:lineRule="auto"/>
        <w:rPr>
          <w:rFonts w:ascii="Faustina" w:eastAsia="Arial" w:hAnsi="Faustina" w:cs="Arial"/>
          <w:sz w:val="22"/>
          <w:szCs w:val="22"/>
        </w:rPr>
      </w:pPr>
    </w:p>
    <w:p w:rsidR="00C32823" w:rsidRPr="00C32823" w:rsidRDefault="00C32823" w:rsidP="00C32823">
      <w:pPr>
        <w:spacing w:line="360" w:lineRule="auto"/>
        <w:jc w:val="both"/>
        <w:rPr>
          <w:rFonts w:ascii="Faustina" w:eastAsia="Arial" w:hAnsi="Faustina" w:cs="Arial"/>
          <w:sz w:val="22"/>
          <w:szCs w:val="22"/>
          <w:u w:val="single"/>
        </w:rPr>
      </w:pPr>
      <w:r w:rsidRPr="00C32823">
        <w:rPr>
          <w:rFonts w:ascii="Faustina" w:eastAsia="Arial" w:hAnsi="Faustina" w:cs="Arial"/>
          <w:sz w:val="22"/>
          <w:szCs w:val="22"/>
          <w:u w:val="single"/>
        </w:rPr>
        <w:t>Introducción – Objetivo</w:t>
      </w:r>
    </w:p>
    <w:p w:rsidR="00C32823" w:rsidRPr="003023D2" w:rsidRDefault="00C32823" w:rsidP="00C32823">
      <w:pPr>
        <w:spacing w:line="360" w:lineRule="auto"/>
        <w:jc w:val="both"/>
        <w:rPr>
          <w:rFonts w:ascii="Faustina" w:eastAsia="Arial" w:hAnsi="Faustina" w:cs="Arial"/>
          <w:sz w:val="22"/>
          <w:szCs w:val="22"/>
        </w:rPr>
      </w:pPr>
      <w:r>
        <w:rPr>
          <w:rFonts w:ascii="Faustina" w:eastAsia="Arial" w:hAnsi="Faustina" w:cs="Arial"/>
          <w:sz w:val="22"/>
          <w:szCs w:val="22"/>
        </w:rPr>
        <w:t>Se llevar</w:t>
      </w:r>
      <w:r w:rsidR="009423F9">
        <w:rPr>
          <w:rFonts w:ascii="Faustina" w:eastAsia="Arial" w:hAnsi="Faustina" w:cs="Arial"/>
          <w:sz w:val="22"/>
          <w:szCs w:val="22"/>
        </w:rPr>
        <w:t>á</w:t>
      </w:r>
      <w:r>
        <w:rPr>
          <w:rFonts w:ascii="Faustina" w:eastAsia="Arial" w:hAnsi="Faustina" w:cs="Arial"/>
          <w:sz w:val="22"/>
          <w:szCs w:val="22"/>
        </w:rPr>
        <w:t xml:space="preserve"> a cabo</w:t>
      </w:r>
      <w:r w:rsidRPr="003023D2">
        <w:rPr>
          <w:rFonts w:ascii="Faustina" w:eastAsia="Arial" w:hAnsi="Faustina" w:cs="Arial"/>
          <w:sz w:val="22"/>
          <w:szCs w:val="22"/>
        </w:rPr>
        <w:t xml:space="preserve"> la auditoría de los estados contables del Instituto de conformidad con normas de auditoria vigentes.</w:t>
      </w:r>
    </w:p>
    <w:p w:rsidR="00C32823" w:rsidRDefault="00C32823" w:rsidP="00C32823">
      <w:pPr>
        <w:spacing w:line="360" w:lineRule="auto"/>
        <w:jc w:val="both"/>
        <w:rPr>
          <w:rFonts w:ascii="Faustina" w:eastAsia="Arial" w:hAnsi="Faustina" w:cs="Arial"/>
          <w:sz w:val="22"/>
          <w:szCs w:val="22"/>
        </w:rPr>
      </w:pPr>
      <w:r w:rsidRPr="003023D2">
        <w:rPr>
          <w:rFonts w:ascii="Faustina" w:eastAsia="Arial" w:hAnsi="Faustina" w:cs="Arial"/>
          <w:sz w:val="22"/>
          <w:szCs w:val="22"/>
        </w:rPr>
        <w:t xml:space="preserve">El objetivo consiste en emitir una opinión sobre los estados contables, de acuerdo con la normativa legal y contable vigente. Para lograr dicha opinión el trabajo consiste en la aplicación de procedimientos de auditoría y la obtención de elementos de </w:t>
      </w:r>
      <w:proofErr w:type="gramStart"/>
      <w:r w:rsidRPr="003023D2">
        <w:rPr>
          <w:rFonts w:ascii="Faustina" w:eastAsia="Arial" w:hAnsi="Faustina" w:cs="Arial"/>
          <w:sz w:val="22"/>
          <w:szCs w:val="22"/>
        </w:rPr>
        <w:t>juicio válidos y suficientes</w:t>
      </w:r>
      <w:proofErr w:type="gramEnd"/>
      <w:r w:rsidRPr="003023D2">
        <w:rPr>
          <w:rFonts w:ascii="Faustina" w:eastAsia="Arial" w:hAnsi="Faustina" w:cs="Arial"/>
          <w:sz w:val="22"/>
          <w:szCs w:val="22"/>
        </w:rPr>
        <w:t xml:space="preserve"> que sustenten el contenido del dictamen.</w:t>
      </w:r>
    </w:p>
    <w:p w:rsidR="008F7E09" w:rsidRDefault="008F7E09" w:rsidP="00C32823">
      <w:pPr>
        <w:spacing w:line="360" w:lineRule="auto"/>
        <w:jc w:val="both"/>
        <w:rPr>
          <w:rFonts w:ascii="Faustina" w:eastAsia="Arial" w:hAnsi="Faustina" w:cs="Arial"/>
          <w:sz w:val="22"/>
          <w:szCs w:val="22"/>
        </w:rPr>
      </w:pP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 xml:space="preserve">Al ser la primera auditoria las tareas de comprenderán </w:t>
      </w:r>
      <w:r w:rsidR="008201AE">
        <w:rPr>
          <w:rFonts w:ascii="Faustina" w:eastAsia="Arial" w:hAnsi="Faustina" w:cs="Arial"/>
          <w:sz w:val="22"/>
          <w:szCs w:val="22"/>
        </w:rPr>
        <w:t>DOS (2)</w:t>
      </w:r>
      <w:r w:rsidRPr="008F7E09">
        <w:rPr>
          <w:rFonts w:ascii="Faustina" w:eastAsia="Arial" w:hAnsi="Faustina" w:cs="Arial"/>
          <w:sz w:val="22"/>
          <w:szCs w:val="22"/>
        </w:rPr>
        <w:t xml:space="preserve"> etapas:</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w:t>
      </w:r>
      <w:r w:rsidRPr="008F7E09">
        <w:rPr>
          <w:rFonts w:ascii="Faustina" w:eastAsia="Arial" w:hAnsi="Faustina" w:cs="Arial"/>
          <w:sz w:val="22"/>
          <w:szCs w:val="22"/>
        </w:rPr>
        <w:tab/>
      </w:r>
      <w:r w:rsidRPr="008F7E09">
        <w:rPr>
          <w:rFonts w:ascii="Faustina" w:eastAsia="Arial" w:hAnsi="Faustina" w:cs="Arial"/>
          <w:sz w:val="22"/>
          <w:szCs w:val="22"/>
        </w:rPr>
        <w:tab/>
        <w:t>Obtener un conocimiento apropiado</w:t>
      </w:r>
      <w:r w:rsidR="008201AE">
        <w:rPr>
          <w:rFonts w:ascii="Faustina" w:eastAsia="Arial" w:hAnsi="Faustina" w:cs="Arial"/>
          <w:sz w:val="22"/>
          <w:szCs w:val="22"/>
        </w:rPr>
        <w:t xml:space="preserve"> de la estructura del Instituto</w:t>
      </w:r>
      <w:r w:rsidRPr="008F7E09">
        <w:rPr>
          <w:rFonts w:ascii="Faustina" w:eastAsia="Arial" w:hAnsi="Faustina" w:cs="Arial"/>
          <w:sz w:val="22"/>
          <w:szCs w:val="22"/>
        </w:rPr>
        <w:t xml:space="preserve"> y normas legales que le son aplicables.</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w:t>
      </w:r>
      <w:r w:rsidRPr="008F7E09">
        <w:rPr>
          <w:rFonts w:ascii="Faustina" w:eastAsia="Arial" w:hAnsi="Faustina" w:cs="Arial"/>
          <w:sz w:val="22"/>
          <w:szCs w:val="22"/>
        </w:rPr>
        <w:tab/>
        <w:t>Realizar una planificación estrategia y detallada de la auditoria, estableciendo los riegos y la naturaleza de los procedimientos a aplicar.</w:t>
      </w:r>
    </w:p>
    <w:p w:rsidR="008F7E09" w:rsidRPr="003023D2"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w:t>
      </w:r>
      <w:r w:rsidRPr="008F7E09">
        <w:rPr>
          <w:rFonts w:ascii="Faustina" w:eastAsia="Arial" w:hAnsi="Faustina" w:cs="Arial"/>
          <w:sz w:val="22"/>
          <w:szCs w:val="22"/>
        </w:rPr>
        <w:tab/>
      </w:r>
      <w:r w:rsidRPr="008F7E09">
        <w:rPr>
          <w:rFonts w:ascii="Faustina" w:eastAsia="Arial" w:hAnsi="Faustina" w:cs="Arial"/>
          <w:sz w:val="22"/>
          <w:szCs w:val="22"/>
        </w:rPr>
        <w:tab/>
        <w:t>Procedimientos de validación de controles y sustantivos que provean los elementos de juicio necesarios a la Auditoría de los estados contables.</w:t>
      </w:r>
    </w:p>
    <w:p w:rsidR="00C32823" w:rsidRPr="00C32823" w:rsidRDefault="00C32823" w:rsidP="00C32823">
      <w:pPr>
        <w:spacing w:line="360" w:lineRule="auto"/>
        <w:jc w:val="both"/>
        <w:rPr>
          <w:rFonts w:ascii="Faustina" w:eastAsia="Arial" w:hAnsi="Faustina" w:cs="Arial"/>
          <w:sz w:val="22"/>
          <w:szCs w:val="22"/>
        </w:rPr>
      </w:pPr>
    </w:p>
    <w:p w:rsidR="00C32823" w:rsidRDefault="00C32823" w:rsidP="00C32823">
      <w:pPr>
        <w:spacing w:line="360" w:lineRule="auto"/>
        <w:jc w:val="both"/>
        <w:rPr>
          <w:rFonts w:ascii="Faustina" w:eastAsia="Arial" w:hAnsi="Faustina" w:cs="Arial"/>
          <w:sz w:val="22"/>
          <w:szCs w:val="22"/>
        </w:rPr>
      </w:pPr>
      <w:r w:rsidRPr="00C32823">
        <w:rPr>
          <w:rFonts w:ascii="Faustina" w:eastAsia="Arial" w:hAnsi="Faustina" w:cs="Arial"/>
          <w:sz w:val="22"/>
          <w:szCs w:val="22"/>
        </w:rPr>
        <w:t>Teniendo en cuenta que los periodos abarcados incluyen periodos ya concluidos (2018 a 2021) y otros que no (2022 y 2023), algunos procedimientos, especialmente los denominados de cierre como arqueos, solo podrán realizarse sobre los ejercicios aun no finalizados.</w:t>
      </w:r>
    </w:p>
    <w:p w:rsidR="00C32823" w:rsidRDefault="00C32823" w:rsidP="003023D2">
      <w:pPr>
        <w:spacing w:line="360" w:lineRule="auto"/>
        <w:jc w:val="both"/>
        <w:rPr>
          <w:rFonts w:ascii="Faustina" w:eastAsia="Arial" w:hAnsi="Faustina" w:cs="Arial"/>
          <w:sz w:val="22"/>
          <w:szCs w:val="22"/>
        </w:rPr>
      </w:pPr>
    </w:p>
    <w:p w:rsidR="00C32823" w:rsidRPr="00C32823" w:rsidRDefault="00C32823" w:rsidP="00C32823">
      <w:pPr>
        <w:spacing w:line="360" w:lineRule="auto"/>
        <w:jc w:val="both"/>
        <w:rPr>
          <w:rFonts w:ascii="Faustina" w:eastAsia="Arial" w:hAnsi="Faustina" w:cs="Arial"/>
          <w:sz w:val="22"/>
          <w:szCs w:val="22"/>
          <w:u w:val="single"/>
        </w:rPr>
      </w:pPr>
      <w:r w:rsidRPr="00C32823">
        <w:rPr>
          <w:rFonts w:ascii="Faustina" w:eastAsia="Arial" w:hAnsi="Faustina" w:cs="Arial"/>
          <w:sz w:val="22"/>
          <w:szCs w:val="22"/>
          <w:u w:val="single"/>
        </w:rPr>
        <w:t>Metodología y Plan de trabajo</w:t>
      </w:r>
    </w:p>
    <w:p w:rsidR="00C32823" w:rsidRPr="00C32823" w:rsidRDefault="008F7E09" w:rsidP="00C32823">
      <w:pPr>
        <w:spacing w:line="360" w:lineRule="auto"/>
        <w:jc w:val="both"/>
        <w:rPr>
          <w:rFonts w:ascii="Faustina" w:eastAsia="Arial" w:hAnsi="Faustina" w:cs="Arial"/>
          <w:sz w:val="22"/>
          <w:szCs w:val="22"/>
        </w:rPr>
      </w:pPr>
      <w:r>
        <w:rPr>
          <w:rFonts w:ascii="Faustina" w:eastAsia="Arial" w:hAnsi="Faustina" w:cs="Arial"/>
          <w:sz w:val="22"/>
          <w:szCs w:val="22"/>
        </w:rPr>
        <w:t xml:space="preserve">En </w:t>
      </w:r>
      <w:r w:rsidR="00C32823" w:rsidRPr="00C32823">
        <w:rPr>
          <w:rFonts w:ascii="Faustina" w:eastAsia="Arial" w:hAnsi="Faustina" w:cs="Arial"/>
          <w:sz w:val="22"/>
          <w:szCs w:val="22"/>
        </w:rPr>
        <w:t>términos generales,</w:t>
      </w:r>
      <w:r>
        <w:rPr>
          <w:rFonts w:ascii="Faustina" w:eastAsia="Arial" w:hAnsi="Faustina" w:cs="Arial"/>
          <w:sz w:val="22"/>
          <w:szCs w:val="22"/>
        </w:rPr>
        <w:t xml:space="preserve"> se describen </w:t>
      </w:r>
      <w:r w:rsidR="00C32823" w:rsidRPr="00C32823">
        <w:rPr>
          <w:rFonts w:ascii="Faustina" w:eastAsia="Arial" w:hAnsi="Faustina" w:cs="Arial"/>
          <w:sz w:val="22"/>
          <w:szCs w:val="22"/>
        </w:rPr>
        <w:t xml:space="preserve">las tareas principales que el equipo técnico y profesional de la universidad, llevará a cabo a los efectos de dar cumplimiento con las actividades asumidas. </w:t>
      </w:r>
    </w:p>
    <w:p w:rsidR="00C32823" w:rsidRDefault="00C32823" w:rsidP="00C32823">
      <w:pPr>
        <w:spacing w:line="360" w:lineRule="auto"/>
        <w:jc w:val="both"/>
        <w:rPr>
          <w:rFonts w:ascii="Faustina" w:eastAsia="Arial" w:hAnsi="Faustina" w:cs="Arial"/>
          <w:sz w:val="22"/>
          <w:szCs w:val="22"/>
        </w:rPr>
      </w:pPr>
      <w:r w:rsidRPr="00C32823">
        <w:rPr>
          <w:rFonts w:ascii="Faustina" w:eastAsia="Arial" w:hAnsi="Faustina" w:cs="Arial"/>
          <w:sz w:val="22"/>
          <w:szCs w:val="22"/>
        </w:rPr>
        <w:t>En esta instancia cabe mencionar que la planificación presentada será la guía inicial del camino crítico a transitar. Esta herramienta será revisada y actualizada durante el trabajo si de acuerdo a los datos e información relavada se considerara necesario.</w:t>
      </w:r>
    </w:p>
    <w:p w:rsidR="008F7E09" w:rsidRDefault="008F7E09" w:rsidP="00C32823">
      <w:pPr>
        <w:spacing w:line="360" w:lineRule="auto"/>
        <w:jc w:val="both"/>
        <w:rPr>
          <w:rFonts w:ascii="Faustina" w:eastAsia="Arial" w:hAnsi="Faustina" w:cs="Arial"/>
          <w:sz w:val="22"/>
          <w:szCs w:val="22"/>
        </w:rPr>
      </w:pPr>
    </w:p>
    <w:p w:rsidR="009268FC" w:rsidRDefault="009268FC" w:rsidP="00C32823">
      <w:pPr>
        <w:spacing w:line="360" w:lineRule="auto"/>
        <w:jc w:val="both"/>
        <w:rPr>
          <w:rFonts w:ascii="Faustina" w:eastAsia="Arial" w:hAnsi="Faustina" w:cs="Arial"/>
          <w:sz w:val="22"/>
          <w:szCs w:val="22"/>
        </w:rPr>
      </w:pPr>
    </w:p>
    <w:p w:rsidR="008F7E09" w:rsidRDefault="008F7E09" w:rsidP="00C32823">
      <w:pPr>
        <w:spacing w:line="360" w:lineRule="auto"/>
        <w:jc w:val="both"/>
        <w:rPr>
          <w:rFonts w:ascii="Faustina" w:eastAsia="Arial" w:hAnsi="Faustina" w:cs="Arial"/>
          <w:sz w:val="22"/>
          <w:szCs w:val="22"/>
        </w:rPr>
      </w:pPr>
    </w:p>
    <w:p w:rsidR="008F7E09" w:rsidRPr="008F7E09" w:rsidRDefault="008F7E09" w:rsidP="008F7E09">
      <w:pPr>
        <w:spacing w:line="360" w:lineRule="auto"/>
        <w:jc w:val="both"/>
        <w:rPr>
          <w:rFonts w:ascii="Faustina" w:eastAsia="Arial" w:hAnsi="Faustina" w:cs="Arial"/>
          <w:b/>
          <w:sz w:val="22"/>
          <w:szCs w:val="22"/>
        </w:rPr>
      </w:pPr>
      <w:r w:rsidRPr="008F7E09">
        <w:rPr>
          <w:rFonts w:ascii="Faustina" w:eastAsia="Arial" w:hAnsi="Faustina" w:cs="Arial"/>
          <w:b/>
          <w:sz w:val="22"/>
          <w:szCs w:val="22"/>
        </w:rPr>
        <w:lastRenderedPageBreak/>
        <w:t>1.</w:t>
      </w:r>
      <w:r w:rsidRPr="008F7E09">
        <w:rPr>
          <w:rFonts w:ascii="Faustina" w:eastAsia="Arial" w:hAnsi="Faustina" w:cs="Arial"/>
          <w:b/>
          <w:sz w:val="22"/>
          <w:szCs w:val="22"/>
        </w:rPr>
        <w:tab/>
        <w:t>Revisión de saldos Iniciales</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Como primer paso, el grupo de profesionales y técnicos de la Universidad, realizará un rele</w:t>
      </w:r>
      <w:r w:rsidR="008201AE">
        <w:rPr>
          <w:rFonts w:ascii="Faustina" w:eastAsia="Arial" w:hAnsi="Faustina" w:cs="Arial"/>
          <w:sz w:val="22"/>
          <w:szCs w:val="22"/>
        </w:rPr>
        <w:t>vamiento de los antecedentes de</w:t>
      </w:r>
      <w:r w:rsidRPr="008F7E09">
        <w:rPr>
          <w:rFonts w:ascii="Faustina" w:eastAsia="Arial" w:hAnsi="Faustina" w:cs="Arial"/>
          <w:sz w:val="22"/>
          <w:szCs w:val="22"/>
        </w:rPr>
        <w:t xml:space="preserve"> los estados contables finalizados el 31 de diciembre de 2017, último auditado, a los efectos de validar los saldos iniciales</w:t>
      </w:r>
      <w:r w:rsidR="008201AE">
        <w:rPr>
          <w:rFonts w:ascii="Faustina" w:eastAsia="Arial" w:hAnsi="Faustina" w:cs="Arial"/>
          <w:sz w:val="22"/>
          <w:szCs w:val="22"/>
        </w:rPr>
        <w:t>.</w:t>
      </w:r>
    </w:p>
    <w:p w:rsidR="008F7E09" w:rsidRPr="008F7E09" w:rsidRDefault="008F7E09" w:rsidP="008F7E09">
      <w:pPr>
        <w:spacing w:line="360" w:lineRule="auto"/>
        <w:jc w:val="both"/>
        <w:rPr>
          <w:rFonts w:ascii="Faustina" w:eastAsia="Arial" w:hAnsi="Faustina" w:cs="Arial"/>
          <w:b/>
          <w:sz w:val="22"/>
          <w:szCs w:val="22"/>
        </w:rPr>
      </w:pPr>
      <w:r w:rsidRPr="008F7E09">
        <w:rPr>
          <w:rFonts w:ascii="Faustina" w:eastAsia="Arial" w:hAnsi="Faustina" w:cs="Arial"/>
          <w:b/>
          <w:sz w:val="22"/>
          <w:szCs w:val="22"/>
        </w:rPr>
        <w:t>2.</w:t>
      </w:r>
      <w:r w:rsidRPr="008F7E09">
        <w:rPr>
          <w:rFonts w:ascii="Faustina" w:eastAsia="Arial" w:hAnsi="Faustina" w:cs="Arial"/>
          <w:b/>
          <w:sz w:val="22"/>
          <w:szCs w:val="22"/>
        </w:rPr>
        <w:tab/>
        <w:t>Arqueo de valores – Tareas de cierre</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Se participará para lo</w:t>
      </w:r>
      <w:r w:rsidR="008201AE">
        <w:rPr>
          <w:rFonts w:ascii="Faustina" w:eastAsia="Arial" w:hAnsi="Faustina" w:cs="Arial"/>
          <w:sz w:val="22"/>
          <w:szCs w:val="22"/>
        </w:rPr>
        <w:t>s ejercicios no finalizados de los procedimientos de</w:t>
      </w:r>
      <w:r w:rsidRPr="008F7E09">
        <w:rPr>
          <w:rFonts w:ascii="Faustina" w:eastAsia="Arial" w:hAnsi="Faustina" w:cs="Arial"/>
          <w:sz w:val="22"/>
          <w:szCs w:val="22"/>
        </w:rPr>
        <w:t xml:space="preserve"> arqueo de valores al cierre</w:t>
      </w:r>
      <w:r w:rsidR="008201AE">
        <w:rPr>
          <w:rFonts w:ascii="Faustina" w:eastAsia="Arial" w:hAnsi="Faustina" w:cs="Arial"/>
          <w:sz w:val="22"/>
          <w:szCs w:val="22"/>
        </w:rPr>
        <w:t>.</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 xml:space="preserve">En relación a los arqueos correspondientes a los ejercicios ya finalizados se </w:t>
      </w:r>
      <w:r w:rsidR="008201AE" w:rsidRPr="008F7E09">
        <w:rPr>
          <w:rFonts w:ascii="Faustina" w:eastAsia="Arial" w:hAnsi="Faustina" w:cs="Arial"/>
          <w:sz w:val="22"/>
          <w:szCs w:val="22"/>
        </w:rPr>
        <w:t>analizarán</w:t>
      </w:r>
      <w:r w:rsidRPr="008F7E09">
        <w:rPr>
          <w:rFonts w:ascii="Faustina" w:eastAsia="Arial" w:hAnsi="Faustina" w:cs="Arial"/>
          <w:sz w:val="22"/>
          <w:szCs w:val="22"/>
        </w:rPr>
        <w:t xml:space="preserve"> los realizados por la Unidad de Auditoria Interna.</w:t>
      </w:r>
    </w:p>
    <w:p w:rsidR="008F7E09" w:rsidRPr="008F7E09" w:rsidRDefault="008F7E09" w:rsidP="008F7E09">
      <w:pPr>
        <w:spacing w:line="360" w:lineRule="auto"/>
        <w:jc w:val="both"/>
        <w:rPr>
          <w:rFonts w:ascii="Faustina" w:eastAsia="Arial" w:hAnsi="Faustina" w:cs="Arial"/>
          <w:b/>
          <w:sz w:val="22"/>
          <w:szCs w:val="22"/>
        </w:rPr>
      </w:pPr>
      <w:r w:rsidRPr="008F7E09">
        <w:rPr>
          <w:rFonts w:ascii="Faustina" w:eastAsia="Arial" w:hAnsi="Faustina" w:cs="Arial"/>
          <w:b/>
          <w:sz w:val="22"/>
          <w:szCs w:val="22"/>
        </w:rPr>
        <w:t>3.</w:t>
      </w:r>
      <w:r w:rsidRPr="008F7E09">
        <w:rPr>
          <w:rFonts w:ascii="Faustina" w:eastAsia="Arial" w:hAnsi="Faustina" w:cs="Arial"/>
          <w:b/>
          <w:sz w:val="22"/>
          <w:szCs w:val="22"/>
        </w:rPr>
        <w:tab/>
        <w:t>Relevamiento de control interno</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Se realizara un relevamiento del control interno con el objetivo de determinar el alcance y la naturaleza de los procedimientos de auditoria.</w:t>
      </w:r>
    </w:p>
    <w:p w:rsidR="008F7E09" w:rsidRPr="008F7E09" w:rsidRDefault="008F7E09" w:rsidP="008F7E09">
      <w:pPr>
        <w:spacing w:line="360" w:lineRule="auto"/>
        <w:jc w:val="both"/>
        <w:rPr>
          <w:rFonts w:ascii="Faustina" w:eastAsia="Arial" w:hAnsi="Faustina" w:cs="Arial"/>
          <w:b/>
          <w:sz w:val="22"/>
          <w:szCs w:val="22"/>
        </w:rPr>
      </w:pPr>
      <w:r w:rsidRPr="008F7E09">
        <w:rPr>
          <w:rFonts w:ascii="Faustina" w:eastAsia="Arial" w:hAnsi="Faustina" w:cs="Arial"/>
          <w:b/>
          <w:sz w:val="22"/>
          <w:szCs w:val="22"/>
        </w:rPr>
        <w:t>4.</w:t>
      </w:r>
      <w:r w:rsidRPr="008F7E09">
        <w:rPr>
          <w:rFonts w:ascii="Faustina" w:eastAsia="Arial" w:hAnsi="Faustina" w:cs="Arial"/>
          <w:b/>
          <w:sz w:val="22"/>
          <w:szCs w:val="22"/>
        </w:rPr>
        <w:tab/>
        <w:t>Planificación de la auditoria</w:t>
      </w:r>
    </w:p>
    <w:p w:rsidR="008F7E09" w:rsidRP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Con la informa</w:t>
      </w:r>
      <w:r w:rsidR="008201AE">
        <w:rPr>
          <w:rFonts w:ascii="Faustina" w:eastAsia="Arial" w:hAnsi="Faustina" w:cs="Arial"/>
          <w:sz w:val="22"/>
          <w:szCs w:val="22"/>
        </w:rPr>
        <w:t>ción recolectada se planificará</w:t>
      </w:r>
      <w:r w:rsidRPr="008F7E09">
        <w:rPr>
          <w:rFonts w:ascii="Faustina" w:eastAsia="Arial" w:hAnsi="Faustina" w:cs="Arial"/>
          <w:sz w:val="22"/>
          <w:szCs w:val="22"/>
        </w:rPr>
        <w:t xml:space="preserve"> la auditoria que incluirá validaciones de controles y pruebas sustantivas para las partidas incluidas en los Estados Contables.</w:t>
      </w:r>
    </w:p>
    <w:p w:rsidR="008F7E09" w:rsidRDefault="008F7E09" w:rsidP="008F7E09">
      <w:pPr>
        <w:spacing w:line="360" w:lineRule="auto"/>
        <w:jc w:val="both"/>
        <w:rPr>
          <w:rFonts w:ascii="Faustina" w:eastAsia="Arial" w:hAnsi="Faustina" w:cs="Arial"/>
          <w:sz w:val="22"/>
          <w:szCs w:val="22"/>
        </w:rPr>
      </w:pPr>
      <w:r w:rsidRPr="008F7E09">
        <w:rPr>
          <w:rFonts w:ascii="Faustina" w:eastAsia="Arial" w:hAnsi="Faustina" w:cs="Arial"/>
          <w:sz w:val="22"/>
          <w:szCs w:val="22"/>
        </w:rPr>
        <w:t>Solo</w:t>
      </w:r>
      <w:r w:rsidR="008201AE">
        <w:rPr>
          <w:rFonts w:ascii="Faustina" w:eastAsia="Arial" w:hAnsi="Faustina" w:cs="Arial"/>
          <w:sz w:val="22"/>
          <w:szCs w:val="22"/>
        </w:rPr>
        <w:t xml:space="preserve"> a modo orientativo exponemos a</w:t>
      </w:r>
      <w:r w:rsidRPr="008F7E09">
        <w:rPr>
          <w:rFonts w:ascii="Faustina" w:eastAsia="Arial" w:hAnsi="Faustina" w:cs="Arial"/>
          <w:sz w:val="22"/>
          <w:szCs w:val="22"/>
        </w:rPr>
        <w:t xml:space="preserve"> continuación las pruebas a realizar sobre los diferentes rubros, siendo las mismas preliminares ya que dependen de los resultados de los análisis a realizar y de la disponibilidad de la información.</w:t>
      </w:r>
    </w:p>
    <w:p w:rsidR="00F568B7" w:rsidRDefault="00F568B7">
      <w:r>
        <w:br w:type="page"/>
      </w:r>
    </w:p>
    <w:tbl>
      <w:tblPr>
        <w:tblpPr w:leftFromText="141" w:rightFromText="141" w:vertAnchor="text" w:horzAnchor="margin" w:tblpXSpec="center" w:tblpY="79"/>
        <w:tblW w:w="8369" w:type="dxa"/>
        <w:tblCellMar>
          <w:left w:w="70" w:type="dxa"/>
          <w:right w:w="70" w:type="dxa"/>
        </w:tblCellMar>
        <w:tblLook w:val="04A0" w:firstRow="1" w:lastRow="0" w:firstColumn="1" w:lastColumn="0" w:noHBand="0" w:noVBand="1"/>
      </w:tblPr>
      <w:tblGrid>
        <w:gridCol w:w="2558"/>
        <w:gridCol w:w="5811"/>
      </w:tblGrid>
      <w:tr w:rsidR="008F7E09" w:rsidRPr="00A6065B" w:rsidTr="008F7E09">
        <w:trPr>
          <w:trHeight w:val="250"/>
        </w:trPr>
        <w:tc>
          <w:tcPr>
            <w:tcW w:w="2558" w:type="dxa"/>
            <w:tcBorders>
              <w:top w:val="nil"/>
              <w:left w:val="nil"/>
              <w:bottom w:val="nil"/>
              <w:right w:val="nil"/>
            </w:tcBorders>
            <w:shd w:val="clear" w:color="auto" w:fill="auto"/>
            <w:noWrap/>
            <w:vAlign w:val="center"/>
            <w:hideMark/>
          </w:tcPr>
          <w:p w:rsidR="008F7E09" w:rsidRPr="00A6065B" w:rsidRDefault="008F7E09" w:rsidP="008F7E09">
            <w:pPr>
              <w:rPr>
                <w:rFonts w:ascii="Georgia" w:eastAsia="Times New Roman" w:hAnsi="Georgia" w:cs="Calibri"/>
                <w:b/>
                <w:bCs/>
                <w:color w:val="000000"/>
                <w:sz w:val="20"/>
                <w:szCs w:val="20"/>
                <w:u w:val="single"/>
              </w:rPr>
            </w:pPr>
            <w:r w:rsidRPr="00A6065B">
              <w:rPr>
                <w:rFonts w:ascii="Georgia" w:eastAsia="Times New Roman" w:hAnsi="Georgia" w:cs="Calibri"/>
                <w:b/>
                <w:bCs/>
                <w:color w:val="000000"/>
                <w:sz w:val="20"/>
                <w:szCs w:val="20"/>
                <w:u w:val="single"/>
              </w:rPr>
              <w:lastRenderedPageBreak/>
              <w:t>ACTIVO</w:t>
            </w:r>
          </w:p>
        </w:tc>
        <w:tc>
          <w:tcPr>
            <w:tcW w:w="5811" w:type="dxa"/>
            <w:tcBorders>
              <w:top w:val="nil"/>
              <w:left w:val="nil"/>
              <w:bottom w:val="nil"/>
              <w:right w:val="nil"/>
            </w:tcBorders>
            <w:shd w:val="clear" w:color="auto" w:fill="auto"/>
            <w:noWrap/>
            <w:vAlign w:val="bottom"/>
            <w:hideMark/>
          </w:tcPr>
          <w:p w:rsidR="008F7E09" w:rsidRPr="00A6065B" w:rsidRDefault="008F7E09" w:rsidP="008F7E09">
            <w:pPr>
              <w:rPr>
                <w:rFonts w:ascii="Georgia" w:eastAsia="Times New Roman" w:hAnsi="Georgia" w:cs="Calibri"/>
                <w:color w:val="000000"/>
              </w:rPr>
            </w:pPr>
          </w:p>
        </w:tc>
      </w:tr>
      <w:tr w:rsidR="008F7E09" w:rsidRPr="00A6065B" w:rsidTr="008F7E09">
        <w:trPr>
          <w:trHeight w:val="250"/>
        </w:trPr>
        <w:tc>
          <w:tcPr>
            <w:tcW w:w="2558" w:type="dxa"/>
            <w:tcBorders>
              <w:top w:val="nil"/>
              <w:left w:val="nil"/>
              <w:bottom w:val="nil"/>
              <w:right w:val="nil"/>
            </w:tcBorders>
            <w:shd w:val="clear" w:color="auto" w:fill="auto"/>
            <w:noWrap/>
            <w:vAlign w:val="center"/>
            <w:hideMark/>
          </w:tcPr>
          <w:p w:rsidR="008F7E09" w:rsidRPr="00A6065B" w:rsidRDefault="008F7E09" w:rsidP="008F7E09">
            <w:pPr>
              <w:jc w:val="center"/>
              <w:rPr>
                <w:rFonts w:ascii="Georgia" w:eastAsia="Times New Roman" w:hAnsi="Georgia" w:cs="Calibri"/>
                <w:b/>
                <w:bCs/>
                <w:color w:val="000000"/>
                <w:sz w:val="20"/>
                <w:szCs w:val="20"/>
                <w:u w:val="single"/>
              </w:rPr>
            </w:pPr>
          </w:p>
        </w:tc>
        <w:tc>
          <w:tcPr>
            <w:tcW w:w="5811" w:type="dxa"/>
            <w:tcBorders>
              <w:top w:val="nil"/>
              <w:left w:val="nil"/>
              <w:bottom w:val="nil"/>
              <w:right w:val="nil"/>
            </w:tcBorders>
            <w:shd w:val="clear" w:color="auto" w:fill="auto"/>
            <w:noWrap/>
            <w:vAlign w:val="bottom"/>
            <w:hideMark/>
          </w:tcPr>
          <w:p w:rsidR="008F7E09" w:rsidRPr="00A6065B" w:rsidRDefault="008F7E09" w:rsidP="008F7E09">
            <w:pPr>
              <w:rPr>
                <w:rFonts w:ascii="Georgia" w:eastAsia="Times New Roman" w:hAnsi="Georgia" w:cs="Calibri"/>
                <w:color w:val="000000"/>
              </w:rPr>
            </w:pPr>
          </w:p>
        </w:tc>
      </w:tr>
      <w:tr w:rsidR="008F7E09" w:rsidRPr="00A6065B" w:rsidTr="008F7E09">
        <w:trPr>
          <w:trHeight w:val="250"/>
        </w:trPr>
        <w:tc>
          <w:tcPr>
            <w:tcW w:w="2558"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8F7E09" w:rsidRPr="00A6065B" w:rsidRDefault="008F7E09" w:rsidP="008F7E09">
            <w:pPr>
              <w:jc w:val="center"/>
              <w:rPr>
                <w:rFonts w:ascii="Georgia" w:eastAsia="Times New Roman" w:hAnsi="Georgia" w:cs="Calibri"/>
                <w:b/>
                <w:bCs/>
                <w:i/>
                <w:iCs/>
                <w:color w:val="000000"/>
              </w:rPr>
            </w:pPr>
            <w:r w:rsidRPr="00A6065B">
              <w:rPr>
                <w:rFonts w:ascii="Georgia" w:eastAsia="Times New Roman" w:hAnsi="Georgia" w:cs="Calibri"/>
                <w:b/>
                <w:bCs/>
                <w:i/>
                <w:iCs/>
                <w:color w:val="000000"/>
              </w:rPr>
              <w:t>Rubro</w:t>
            </w:r>
          </w:p>
        </w:tc>
        <w:tc>
          <w:tcPr>
            <w:tcW w:w="5811" w:type="dxa"/>
            <w:tcBorders>
              <w:top w:val="single" w:sz="4" w:space="0" w:color="auto"/>
              <w:left w:val="nil"/>
              <w:bottom w:val="single" w:sz="4" w:space="0" w:color="auto"/>
              <w:right w:val="single" w:sz="4" w:space="0" w:color="auto"/>
            </w:tcBorders>
            <w:shd w:val="clear" w:color="000000" w:fill="B7DEE8"/>
            <w:vAlign w:val="center"/>
            <w:hideMark/>
          </w:tcPr>
          <w:p w:rsidR="008F7E09" w:rsidRPr="00A6065B" w:rsidRDefault="008F7E09" w:rsidP="008F7E09">
            <w:pPr>
              <w:jc w:val="center"/>
              <w:rPr>
                <w:rFonts w:ascii="Georgia" w:eastAsia="Times New Roman" w:hAnsi="Georgia" w:cs="Calibri"/>
                <w:b/>
                <w:bCs/>
                <w:i/>
                <w:iCs/>
                <w:color w:val="000000"/>
              </w:rPr>
            </w:pPr>
            <w:r w:rsidRPr="00A6065B">
              <w:rPr>
                <w:rFonts w:ascii="Georgia" w:eastAsia="Times New Roman" w:hAnsi="Georgia" w:cs="Calibri"/>
                <w:b/>
                <w:bCs/>
                <w:i/>
                <w:iCs/>
                <w:color w:val="000000"/>
              </w:rPr>
              <w:t>Detalle</w:t>
            </w:r>
          </w:p>
        </w:tc>
      </w:tr>
      <w:tr w:rsidR="008F7E09" w:rsidRPr="00A6065B" w:rsidTr="008F7E09">
        <w:trPr>
          <w:trHeight w:val="250"/>
        </w:trPr>
        <w:tc>
          <w:tcPr>
            <w:tcW w:w="2558" w:type="dxa"/>
            <w:vMerge w:val="restart"/>
            <w:tcBorders>
              <w:top w:val="nil"/>
              <w:left w:val="single" w:sz="4" w:space="0" w:color="auto"/>
              <w:bottom w:val="nil"/>
              <w:right w:val="single" w:sz="4" w:space="0" w:color="auto"/>
            </w:tcBorders>
            <w:shd w:val="clear" w:color="auto" w:fill="auto"/>
            <w:vAlign w:val="center"/>
            <w:hideMark/>
          </w:tcPr>
          <w:p w:rsidR="008F7E09" w:rsidRPr="00A6065B" w:rsidRDefault="008F7E09" w:rsidP="008F7E09">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DISPONIBILIDADES</w:t>
            </w: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1-</w:t>
            </w:r>
            <w:r w:rsidR="008201AE">
              <w:rPr>
                <w:rFonts w:ascii="Georgia" w:eastAsia="Times New Roman" w:hAnsi="Georgia" w:cs="Calibri"/>
                <w:color w:val="000000"/>
                <w:sz w:val="20"/>
                <w:szCs w:val="20"/>
              </w:rPr>
              <w:t xml:space="preserve"> </w:t>
            </w:r>
            <w:r w:rsidRPr="00A6065B">
              <w:rPr>
                <w:rFonts w:ascii="Georgia" w:eastAsia="Times New Roman" w:hAnsi="Georgia" w:cs="Calibri"/>
                <w:color w:val="000000"/>
                <w:sz w:val="20"/>
                <w:szCs w:val="20"/>
              </w:rPr>
              <w:t>Participación o revisión de los arqueos de valores.</w:t>
            </w:r>
          </w:p>
        </w:tc>
      </w:tr>
      <w:tr w:rsidR="008F7E09" w:rsidRPr="00A6065B" w:rsidTr="008F7E09">
        <w:trPr>
          <w:trHeight w:val="528"/>
        </w:trPr>
        <w:tc>
          <w:tcPr>
            <w:tcW w:w="2558" w:type="dxa"/>
            <w:vMerge/>
            <w:tcBorders>
              <w:top w:val="nil"/>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2- Revisión y análisis de las Conciliaciones bancarias a cada uno de los cierres contables.</w:t>
            </w:r>
          </w:p>
        </w:tc>
      </w:tr>
      <w:tr w:rsidR="008F7E09" w:rsidRPr="00A6065B" w:rsidTr="008F7E09">
        <w:trPr>
          <w:trHeight w:val="250"/>
        </w:trPr>
        <w:tc>
          <w:tcPr>
            <w:tcW w:w="2558" w:type="dxa"/>
            <w:vMerge/>
            <w:tcBorders>
              <w:top w:val="nil"/>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3- </w:t>
            </w:r>
            <w:proofErr w:type="spellStart"/>
            <w:r w:rsidRPr="00A6065B">
              <w:rPr>
                <w:rFonts w:ascii="Georgia" w:eastAsia="Times New Roman" w:hAnsi="Georgia" w:cs="Calibri"/>
                <w:color w:val="000000"/>
                <w:sz w:val="20"/>
                <w:szCs w:val="20"/>
              </w:rPr>
              <w:t>Circularizaciones</w:t>
            </w:r>
            <w:proofErr w:type="spellEnd"/>
            <w:r w:rsidRPr="00A6065B">
              <w:rPr>
                <w:rFonts w:ascii="Georgia" w:eastAsia="Times New Roman" w:hAnsi="Georgia" w:cs="Calibri"/>
                <w:color w:val="000000"/>
                <w:sz w:val="20"/>
                <w:szCs w:val="20"/>
              </w:rPr>
              <w:t xml:space="preserve"> de las principales entidades bancarias. </w:t>
            </w:r>
          </w:p>
        </w:tc>
      </w:tr>
      <w:tr w:rsidR="008F7E09" w:rsidRPr="00A6065B" w:rsidTr="008F7E09">
        <w:trPr>
          <w:trHeight w:val="250"/>
        </w:trPr>
        <w:tc>
          <w:tcPr>
            <w:tcW w:w="2558" w:type="dxa"/>
            <w:vMerge/>
            <w:tcBorders>
              <w:top w:val="nil"/>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jc w:val="both"/>
              <w:rPr>
                <w:rFonts w:ascii="Georgia" w:eastAsia="Times New Roman" w:hAnsi="Georgia" w:cs="Calibri"/>
                <w:color w:val="000000"/>
                <w:sz w:val="20"/>
                <w:szCs w:val="20"/>
              </w:rPr>
            </w:pPr>
          </w:p>
        </w:tc>
      </w:tr>
      <w:tr w:rsidR="008F7E09" w:rsidRPr="00A6065B" w:rsidTr="008F7E09">
        <w:trPr>
          <w:trHeight w:val="250"/>
        </w:trPr>
        <w:tc>
          <w:tcPr>
            <w:tcW w:w="2558"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8F7E09">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INVERSIONES FINANCIERAS (excepto Prestamos)</w:t>
            </w:r>
          </w:p>
        </w:tc>
        <w:tc>
          <w:tcPr>
            <w:tcW w:w="5811"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1- Validación de la documentación de respaldo de las inversiones.</w:t>
            </w:r>
          </w:p>
        </w:tc>
      </w:tr>
      <w:tr w:rsidR="008F7E09" w:rsidRPr="00A6065B" w:rsidTr="008F7E09">
        <w:trPr>
          <w:trHeight w:val="250"/>
        </w:trPr>
        <w:tc>
          <w:tcPr>
            <w:tcW w:w="2558" w:type="dxa"/>
            <w:vMerge/>
            <w:tcBorders>
              <w:top w:val="single" w:sz="4" w:space="0" w:color="auto"/>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2- Revisión y análisis de los </w:t>
            </w:r>
            <w:proofErr w:type="spellStart"/>
            <w:r w:rsidRPr="00A6065B">
              <w:rPr>
                <w:rFonts w:ascii="Georgia" w:eastAsia="Times New Roman" w:hAnsi="Georgia" w:cs="Calibri"/>
                <w:color w:val="000000"/>
                <w:sz w:val="20"/>
                <w:szCs w:val="20"/>
              </w:rPr>
              <w:t>devengamientos</w:t>
            </w:r>
            <w:proofErr w:type="spellEnd"/>
            <w:r w:rsidRPr="00A6065B">
              <w:rPr>
                <w:rFonts w:ascii="Georgia" w:eastAsia="Times New Roman" w:hAnsi="Georgia" w:cs="Calibri"/>
                <w:color w:val="000000"/>
                <w:sz w:val="20"/>
                <w:szCs w:val="20"/>
              </w:rPr>
              <w:t xml:space="preserve"> y cargo ha resultado.</w:t>
            </w:r>
          </w:p>
        </w:tc>
      </w:tr>
      <w:tr w:rsidR="008F7E09" w:rsidRPr="00A6065B" w:rsidTr="008F7E09">
        <w:trPr>
          <w:trHeight w:val="422"/>
        </w:trPr>
        <w:tc>
          <w:tcPr>
            <w:tcW w:w="2558" w:type="dxa"/>
            <w:vMerge/>
            <w:tcBorders>
              <w:top w:val="single" w:sz="4" w:space="0" w:color="auto"/>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3- </w:t>
            </w:r>
            <w:proofErr w:type="spellStart"/>
            <w:r w:rsidRPr="00A6065B">
              <w:rPr>
                <w:rFonts w:ascii="Georgia" w:eastAsia="Times New Roman" w:hAnsi="Georgia" w:cs="Calibri"/>
                <w:color w:val="000000"/>
                <w:sz w:val="20"/>
                <w:szCs w:val="20"/>
              </w:rPr>
              <w:t>Circularizaciones</w:t>
            </w:r>
            <w:proofErr w:type="spellEnd"/>
            <w:r w:rsidRPr="00A6065B">
              <w:rPr>
                <w:rFonts w:ascii="Georgia" w:eastAsia="Times New Roman" w:hAnsi="Georgia" w:cs="Calibri"/>
                <w:color w:val="000000"/>
                <w:sz w:val="20"/>
                <w:szCs w:val="20"/>
              </w:rPr>
              <w:t xml:space="preserve"> a la Caja de Valores y otras para validar saldos de tenencias.</w:t>
            </w:r>
          </w:p>
        </w:tc>
      </w:tr>
      <w:tr w:rsidR="008F7E09" w:rsidRPr="00A6065B" w:rsidTr="008F7E09">
        <w:trPr>
          <w:trHeight w:val="250"/>
        </w:trPr>
        <w:tc>
          <w:tcPr>
            <w:tcW w:w="2558" w:type="dxa"/>
            <w:vMerge/>
            <w:tcBorders>
              <w:top w:val="single" w:sz="4" w:space="0" w:color="auto"/>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jc w:val="both"/>
              <w:rPr>
                <w:rFonts w:ascii="Georgia" w:eastAsia="Times New Roman" w:hAnsi="Georgia" w:cs="Calibri"/>
                <w:color w:val="000000"/>
                <w:sz w:val="20"/>
                <w:szCs w:val="20"/>
              </w:rPr>
            </w:pPr>
          </w:p>
        </w:tc>
      </w:tr>
      <w:tr w:rsidR="008F7E09" w:rsidRPr="00A6065B" w:rsidTr="008F7E09">
        <w:trPr>
          <w:trHeight w:val="369"/>
        </w:trPr>
        <w:tc>
          <w:tcPr>
            <w:tcW w:w="2558"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8F7E09">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INVERSIONES FINANCIERAS - PRESTAMOS OTORGADOS</w:t>
            </w:r>
          </w:p>
        </w:tc>
        <w:tc>
          <w:tcPr>
            <w:tcW w:w="5811"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1- </w:t>
            </w:r>
            <w:r w:rsidR="008201AE">
              <w:rPr>
                <w:rFonts w:ascii="Georgia" w:eastAsia="Times New Roman" w:hAnsi="Georgia" w:cs="Calibri"/>
                <w:color w:val="000000"/>
                <w:sz w:val="20"/>
                <w:szCs w:val="20"/>
              </w:rPr>
              <w:t xml:space="preserve">Validación por muestreo </w:t>
            </w:r>
            <w:r w:rsidRPr="00A6065B">
              <w:rPr>
                <w:rFonts w:ascii="Georgia" w:eastAsia="Times New Roman" w:hAnsi="Georgia" w:cs="Calibri"/>
                <w:color w:val="000000"/>
                <w:sz w:val="20"/>
                <w:szCs w:val="20"/>
              </w:rPr>
              <w:t>de la documentación de respaldo de los préstamos.</w:t>
            </w:r>
          </w:p>
        </w:tc>
      </w:tr>
      <w:tr w:rsidR="008F7E09" w:rsidRPr="00A6065B" w:rsidTr="008F7E09">
        <w:trPr>
          <w:trHeight w:val="250"/>
        </w:trPr>
        <w:tc>
          <w:tcPr>
            <w:tcW w:w="2558" w:type="dxa"/>
            <w:vMerge/>
            <w:tcBorders>
              <w:top w:val="single" w:sz="4" w:space="0" w:color="auto"/>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2- Revisión y análisis de los criterios de cobrabilidad</w:t>
            </w:r>
          </w:p>
        </w:tc>
      </w:tr>
      <w:tr w:rsidR="008F7E09" w:rsidRPr="00A6065B" w:rsidTr="008F7E09">
        <w:trPr>
          <w:trHeight w:val="250"/>
        </w:trPr>
        <w:tc>
          <w:tcPr>
            <w:tcW w:w="2558" w:type="dxa"/>
            <w:vMerge/>
            <w:tcBorders>
              <w:top w:val="single" w:sz="4" w:space="0" w:color="auto"/>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3- </w:t>
            </w:r>
            <w:proofErr w:type="spellStart"/>
            <w:r w:rsidRPr="00A6065B">
              <w:rPr>
                <w:rFonts w:ascii="Georgia" w:eastAsia="Times New Roman" w:hAnsi="Georgia" w:cs="Calibri"/>
                <w:color w:val="000000"/>
                <w:sz w:val="20"/>
                <w:szCs w:val="20"/>
              </w:rPr>
              <w:t>C</w:t>
            </w:r>
            <w:r w:rsidR="008201AE">
              <w:rPr>
                <w:rFonts w:ascii="Georgia" w:eastAsia="Times New Roman" w:hAnsi="Georgia" w:cs="Calibri"/>
                <w:color w:val="000000"/>
                <w:sz w:val="20"/>
                <w:szCs w:val="20"/>
              </w:rPr>
              <w:t>ircularizaciones</w:t>
            </w:r>
            <w:proofErr w:type="spellEnd"/>
            <w:r w:rsidR="008201AE">
              <w:rPr>
                <w:rFonts w:ascii="Georgia" w:eastAsia="Times New Roman" w:hAnsi="Georgia" w:cs="Calibri"/>
                <w:color w:val="000000"/>
                <w:sz w:val="20"/>
                <w:szCs w:val="20"/>
              </w:rPr>
              <w:t xml:space="preserve"> (por muestreo)</w:t>
            </w:r>
            <w:r w:rsidRPr="00A6065B">
              <w:rPr>
                <w:rFonts w:ascii="Georgia" w:eastAsia="Times New Roman" w:hAnsi="Georgia" w:cs="Calibri"/>
                <w:color w:val="000000"/>
                <w:sz w:val="20"/>
                <w:szCs w:val="20"/>
              </w:rPr>
              <w:t xml:space="preserve"> para validar saldos de tenencias.</w:t>
            </w:r>
          </w:p>
        </w:tc>
      </w:tr>
      <w:tr w:rsidR="008F7E09" w:rsidRPr="00A6065B" w:rsidTr="008F7E09">
        <w:trPr>
          <w:trHeight w:val="250"/>
        </w:trPr>
        <w:tc>
          <w:tcPr>
            <w:tcW w:w="2558" w:type="dxa"/>
            <w:vMerge/>
            <w:tcBorders>
              <w:top w:val="single" w:sz="4" w:space="0" w:color="auto"/>
              <w:left w:val="single" w:sz="4" w:space="0" w:color="auto"/>
              <w:bottom w:val="nil"/>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jc w:val="both"/>
              <w:rPr>
                <w:rFonts w:ascii="Georgia" w:eastAsia="Times New Roman" w:hAnsi="Georgia" w:cs="Calibri"/>
                <w:color w:val="000000"/>
                <w:sz w:val="20"/>
                <w:szCs w:val="20"/>
              </w:rPr>
            </w:pPr>
          </w:p>
        </w:tc>
      </w:tr>
      <w:tr w:rsidR="008F7E09" w:rsidRPr="00A6065B" w:rsidTr="008F7E09">
        <w:trPr>
          <w:trHeight w:val="250"/>
        </w:trPr>
        <w:tc>
          <w:tcPr>
            <w:tcW w:w="2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7E09" w:rsidRPr="00A6065B" w:rsidRDefault="008F7E09" w:rsidP="008F7E09">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CREDITOS</w:t>
            </w:r>
          </w:p>
        </w:tc>
        <w:tc>
          <w:tcPr>
            <w:tcW w:w="5811"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8F7E09">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1- Revisión del Analítico de deudores </w:t>
            </w:r>
          </w:p>
        </w:tc>
      </w:tr>
      <w:tr w:rsidR="008F7E09" w:rsidRPr="00A6065B" w:rsidTr="008F7E09">
        <w:trPr>
          <w:trHeight w:val="488"/>
        </w:trPr>
        <w:tc>
          <w:tcPr>
            <w:tcW w:w="2558" w:type="dxa"/>
            <w:vMerge/>
            <w:tcBorders>
              <w:top w:val="single" w:sz="4" w:space="0" w:color="auto"/>
              <w:left w:val="single" w:sz="4" w:space="0" w:color="auto"/>
              <w:bottom w:val="single" w:sz="4" w:space="0" w:color="000000"/>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2- </w:t>
            </w:r>
            <w:proofErr w:type="spellStart"/>
            <w:r w:rsidRPr="00A6065B">
              <w:rPr>
                <w:rFonts w:ascii="Georgia" w:eastAsia="Times New Roman" w:hAnsi="Georgia" w:cs="Calibri"/>
                <w:color w:val="000000"/>
                <w:sz w:val="20"/>
                <w:szCs w:val="20"/>
              </w:rPr>
              <w:t>Anticuación</w:t>
            </w:r>
            <w:proofErr w:type="spellEnd"/>
            <w:r w:rsidRPr="00A6065B">
              <w:rPr>
                <w:rFonts w:ascii="Georgia" w:eastAsia="Times New Roman" w:hAnsi="Georgia" w:cs="Calibri"/>
                <w:color w:val="000000"/>
                <w:sz w:val="20"/>
                <w:szCs w:val="20"/>
              </w:rPr>
              <w:t xml:space="preserve"> de </w:t>
            </w:r>
            <w:r w:rsidR="008201AE">
              <w:rPr>
                <w:rFonts w:ascii="Georgia" w:eastAsia="Times New Roman" w:hAnsi="Georgia" w:cs="Calibri"/>
                <w:color w:val="000000"/>
                <w:sz w:val="20"/>
                <w:szCs w:val="20"/>
              </w:rPr>
              <w:t xml:space="preserve">cuentas por cobrar </w:t>
            </w:r>
            <w:r w:rsidRPr="00A6065B">
              <w:rPr>
                <w:rFonts w:ascii="Georgia" w:eastAsia="Times New Roman" w:hAnsi="Georgia" w:cs="Calibri"/>
                <w:color w:val="000000"/>
                <w:sz w:val="20"/>
                <w:szCs w:val="20"/>
              </w:rPr>
              <w:t>y análisis de cobrabilidad.</w:t>
            </w:r>
          </w:p>
        </w:tc>
      </w:tr>
      <w:tr w:rsidR="008F7E09" w:rsidRPr="00A6065B" w:rsidTr="008F7E09">
        <w:trPr>
          <w:trHeight w:val="449"/>
        </w:trPr>
        <w:tc>
          <w:tcPr>
            <w:tcW w:w="2558" w:type="dxa"/>
            <w:vMerge/>
            <w:tcBorders>
              <w:top w:val="single" w:sz="4" w:space="0" w:color="auto"/>
              <w:left w:val="single" w:sz="4" w:space="0" w:color="auto"/>
              <w:bottom w:val="single" w:sz="4" w:space="0" w:color="000000"/>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F7E09">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3- Detalle de saldos a cobrar y a pagar en moneda extranjera, detallando cantidad de moneda extranjera, tipo de cambio, valor en pesos al cierre y cuenta contable.</w:t>
            </w:r>
          </w:p>
        </w:tc>
      </w:tr>
      <w:tr w:rsidR="008F7E09" w:rsidRPr="00A6065B" w:rsidTr="008F7E09">
        <w:trPr>
          <w:trHeight w:val="317"/>
        </w:trPr>
        <w:tc>
          <w:tcPr>
            <w:tcW w:w="2558" w:type="dxa"/>
            <w:vMerge/>
            <w:tcBorders>
              <w:top w:val="single" w:sz="4" w:space="0" w:color="auto"/>
              <w:left w:val="single" w:sz="4" w:space="0" w:color="auto"/>
              <w:bottom w:val="single" w:sz="4" w:space="0" w:color="000000"/>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F7E09" w:rsidP="008201AE">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4- </w:t>
            </w:r>
            <w:proofErr w:type="spellStart"/>
            <w:r w:rsidRPr="00A6065B">
              <w:rPr>
                <w:rFonts w:ascii="Georgia" w:eastAsia="Times New Roman" w:hAnsi="Georgia" w:cs="Calibri"/>
                <w:color w:val="000000"/>
                <w:sz w:val="20"/>
                <w:szCs w:val="20"/>
              </w:rPr>
              <w:t>Circularizaciones</w:t>
            </w:r>
            <w:proofErr w:type="spellEnd"/>
            <w:r w:rsidR="008201AE">
              <w:rPr>
                <w:rFonts w:ascii="Georgia" w:eastAsia="Times New Roman" w:hAnsi="Georgia" w:cs="Calibri"/>
                <w:color w:val="000000"/>
                <w:sz w:val="20"/>
                <w:szCs w:val="20"/>
              </w:rPr>
              <w:t xml:space="preserve"> (por muestreo) </w:t>
            </w:r>
            <w:r w:rsidRPr="00A6065B">
              <w:rPr>
                <w:rFonts w:ascii="Georgia" w:eastAsia="Times New Roman" w:hAnsi="Georgia" w:cs="Calibri"/>
                <w:color w:val="000000"/>
                <w:sz w:val="20"/>
                <w:szCs w:val="20"/>
              </w:rPr>
              <w:t>para validar saldos.</w:t>
            </w:r>
          </w:p>
        </w:tc>
      </w:tr>
      <w:tr w:rsidR="008F7E09" w:rsidRPr="00A6065B" w:rsidTr="008F7E09">
        <w:trPr>
          <w:trHeight w:val="250"/>
        </w:trPr>
        <w:tc>
          <w:tcPr>
            <w:tcW w:w="2558" w:type="dxa"/>
            <w:vMerge/>
            <w:tcBorders>
              <w:top w:val="single" w:sz="4" w:space="0" w:color="auto"/>
              <w:left w:val="single" w:sz="4" w:space="0" w:color="auto"/>
              <w:bottom w:val="single" w:sz="4" w:space="0" w:color="000000"/>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nil"/>
              <w:right w:val="single" w:sz="4" w:space="0" w:color="auto"/>
            </w:tcBorders>
            <w:shd w:val="clear" w:color="auto" w:fill="auto"/>
            <w:vAlign w:val="center"/>
            <w:hideMark/>
          </w:tcPr>
          <w:p w:rsidR="008F7E09" w:rsidRPr="00A6065B" w:rsidRDefault="008201AE" w:rsidP="008F7E09">
            <w:pPr>
              <w:rPr>
                <w:rFonts w:ascii="Georgia" w:eastAsia="Times New Roman" w:hAnsi="Georgia" w:cs="Calibri"/>
                <w:color w:val="000000"/>
                <w:sz w:val="20"/>
                <w:szCs w:val="20"/>
              </w:rPr>
            </w:pPr>
            <w:r>
              <w:rPr>
                <w:rFonts w:ascii="Georgia" w:eastAsia="Times New Roman" w:hAnsi="Georgia" w:cs="Calibri"/>
                <w:color w:val="000000"/>
                <w:sz w:val="20"/>
                <w:szCs w:val="20"/>
              </w:rPr>
              <w:t>5</w:t>
            </w:r>
            <w:r w:rsidR="008F7E09" w:rsidRPr="00A6065B">
              <w:rPr>
                <w:rFonts w:ascii="Georgia" w:eastAsia="Times New Roman" w:hAnsi="Georgia" w:cs="Calibri"/>
                <w:color w:val="000000"/>
                <w:sz w:val="20"/>
                <w:szCs w:val="20"/>
              </w:rPr>
              <w:t>- Revisión de cobranzas posteriores</w:t>
            </w:r>
          </w:p>
        </w:tc>
      </w:tr>
      <w:tr w:rsidR="008F7E09" w:rsidRPr="00A6065B" w:rsidTr="008F7E09">
        <w:trPr>
          <w:trHeight w:val="250"/>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nil"/>
              <w:left w:val="nil"/>
              <w:bottom w:val="single" w:sz="4" w:space="0" w:color="auto"/>
              <w:right w:val="single" w:sz="4" w:space="0" w:color="auto"/>
            </w:tcBorders>
            <w:shd w:val="clear" w:color="auto" w:fill="auto"/>
            <w:vAlign w:val="center"/>
            <w:hideMark/>
          </w:tcPr>
          <w:p w:rsidR="008F7E09" w:rsidRPr="00A6065B" w:rsidRDefault="008F7E09" w:rsidP="008201AE">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 xml:space="preserve">6- Análisis de la aplicación de anticipos </w:t>
            </w:r>
          </w:p>
        </w:tc>
      </w:tr>
      <w:tr w:rsidR="008F7E09" w:rsidRPr="00A6065B" w:rsidTr="008F7E09">
        <w:trPr>
          <w:trHeight w:val="449"/>
        </w:trPr>
        <w:tc>
          <w:tcPr>
            <w:tcW w:w="2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E09" w:rsidRPr="00A6065B" w:rsidRDefault="008F7E09" w:rsidP="008F7E09">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BIENES DE USO e INTANGIBLES</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201AE" w:rsidP="008F7E09">
            <w:pPr>
              <w:rPr>
                <w:rFonts w:ascii="Georgia" w:eastAsia="Times New Roman" w:hAnsi="Georgia" w:cs="Calibri"/>
                <w:sz w:val="20"/>
                <w:szCs w:val="20"/>
              </w:rPr>
            </w:pPr>
            <w:r>
              <w:rPr>
                <w:rFonts w:ascii="Georgia" w:eastAsia="Times New Roman" w:hAnsi="Georgia" w:cs="Calibri"/>
                <w:sz w:val="20"/>
                <w:szCs w:val="20"/>
              </w:rPr>
              <w:t>1- Análisis del</w:t>
            </w:r>
            <w:r w:rsidR="008F7E09" w:rsidRPr="00A6065B">
              <w:rPr>
                <w:rFonts w:ascii="Georgia" w:eastAsia="Times New Roman" w:hAnsi="Georgia" w:cs="Calibri"/>
                <w:sz w:val="20"/>
                <w:szCs w:val="20"/>
              </w:rPr>
              <w:t xml:space="preserve"> analítico de bienes de uso y selección de una muestra a los efectos de solicitar la documentación de respaldo (primera auditoria). </w:t>
            </w:r>
          </w:p>
        </w:tc>
      </w:tr>
      <w:tr w:rsidR="008F7E09" w:rsidRPr="00A6065B" w:rsidTr="008F7E09">
        <w:trPr>
          <w:trHeight w:val="250"/>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F7E09" w:rsidP="008201AE">
            <w:pPr>
              <w:rPr>
                <w:rFonts w:ascii="Georgia" w:eastAsia="Times New Roman" w:hAnsi="Georgia" w:cs="Calibri"/>
                <w:sz w:val="20"/>
                <w:szCs w:val="20"/>
              </w:rPr>
            </w:pPr>
            <w:r w:rsidRPr="00A6065B">
              <w:rPr>
                <w:rFonts w:ascii="Georgia" w:eastAsia="Times New Roman" w:hAnsi="Georgia" w:cs="Calibri"/>
                <w:sz w:val="20"/>
                <w:szCs w:val="20"/>
              </w:rPr>
              <w:t>2- Análisis de las altas y bajas del ejercicio (auditorias recurrentes).</w:t>
            </w:r>
          </w:p>
        </w:tc>
      </w:tr>
      <w:tr w:rsidR="008F7E09" w:rsidRPr="00A6065B" w:rsidTr="008F7E09">
        <w:trPr>
          <w:trHeight w:val="250"/>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8F7E09">
            <w:pPr>
              <w:rPr>
                <w:rFonts w:ascii="Georgia" w:eastAsia="Times New Roman" w:hAnsi="Georgia" w:cs="Calibri"/>
                <w:b/>
                <w:bCs/>
                <w:color w:val="000000"/>
                <w:sz w:val="20"/>
                <w:szCs w:val="20"/>
              </w:rPr>
            </w:pP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F7E09" w:rsidP="008201AE">
            <w:pPr>
              <w:rPr>
                <w:rFonts w:ascii="Georgia" w:eastAsia="Times New Roman" w:hAnsi="Georgia" w:cs="Calibri"/>
                <w:sz w:val="20"/>
                <w:szCs w:val="20"/>
              </w:rPr>
            </w:pPr>
            <w:r w:rsidRPr="00A6065B">
              <w:rPr>
                <w:rFonts w:ascii="Georgia" w:eastAsia="Times New Roman" w:hAnsi="Georgia" w:cs="Calibri"/>
                <w:sz w:val="20"/>
                <w:szCs w:val="20"/>
              </w:rPr>
              <w:t>3- Pruebas globales de los cargos a resultados.</w:t>
            </w:r>
          </w:p>
        </w:tc>
      </w:tr>
    </w:tbl>
    <w:p w:rsidR="00F568B7" w:rsidRDefault="00F568B7">
      <w:r>
        <w:br w:type="page"/>
      </w:r>
    </w:p>
    <w:tbl>
      <w:tblPr>
        <w:tblW w:w="8247" w:type="dxa"/>
        <w:tblInd w:w="80" w:type="dxa"/>
        <w:tblCellMar>
          <w:left w:w="70" w:type="dxa"/>
          <w:right w:w="70" w:type="dxa"/>
        </w:tblCellMar>
        <w:tblLook w:val="04A0" w:firstRow="1" w:lastRow="0" w:firstColumn="1" w:lastColumn="0" w:noHBand="0" w:noVBand="1"/>
      </w:tblPr>
      <w:tblGrid>
        <w:gridCol w:w="2520"/>
        <w:gridCol w:w="5727"/>
      </w:tblGrid>
      <w:tr w:rsidR="008F7E09" w:rsidRPr="00F568B7" w:rsidTr="008F7E09">
        <w:trPr>
          <w:trHeight w:val="323"/>
        </w:trPr>
        <w:tc>
          <w:tcPr>
            <w:tcW w:w="8247" w:type="dxa"/>
            <w:gridSpan w:val="2"/>
            <w:tcBorders>
              <w:top w:val="nil"/>
              <w:left w:val="nil"/>
              <w:bottom w:val="nil"/>
              <w:right w:val="nil"/>
            </w:tcBorders>
            <w:shd w:val="clear" w:color="auto" w:fill="auto"/>
            <w:noWrap/>
            <w:vAlign w:val="center"/>
            <w:hideMark/>
          </w:tcPr>
          <w:p w:rsidR="008F7E09" w:rsidRPr="00F568B7" w:rsidRDefault="008F7E09" w:rsidP="00693A94">
            <w:pPr>
              <w:rPr>
                <w:rFonts w:ascii="Georgia" w:eastAsia="Times New Roman" w:hAnsi="Georgia" w:cs="Calibri"/>
                <w:b/>
                <w:bCs/>
                <w:color w:val="000000"/>
                <w:sz w:val="20"/>
                <w:szCs w:val="20"/>
              </w:rPr>
            </w:pPr>
            <w:r w:rsidRPr="00F568B7">
              <w:rPr>
                <w:rFonts w:ascii="Georgia" w:eastAsia="Times New Roman" w:hAnsi="Georgia" w:cs="Calibri"/>
                <w:b/>
                <w:bCs/>
                <w:color w:val="000000"/>
                <w:sz w:val="20"/>
                <w:szCs w:val="20"/>
              </w:rPr>
              <w:lastRenderedPageBreak/>
              <w:t>PASIVO Y PATRIMONIO NETO</w:t>
            </w:r>
          </w:p>
        </w:tc>
      </w:tr>
      <w:tr w:rsidR="008F7E09" w:rsidRPr="00A6065B" w:rsidTr="008F7E09">
        <w:trPr>
          <w:trHeight w:val="323"/>
        </w:trPr>
        <w:tc>
          <w:tcPr>
            <w:tcW w:w="2520" w:type="dxa"/>
            <w:tcBorders>
              <w:top w:val="nil"/>
              <w:left w:val="nil"/>
              <w:bottom w:val="nil"/>
              <w:right w:val="nil"/>
            </w:tcBorders>
            <w:shd w:val="clear" w:color="auto" w:fill="auto"/>
            <w:noWrap/>
            <w:vAlign w:val="center"/>
            <w:hideMark/>
          </w:tcPr>
          <w:p w:rsidR="008F7E09" w:rsidRPr="00A6065B" w:rsidRDefault="008F7E09" w:rsidP="00693A94">
            <w:pPr>
              <w:jc w:val="center"/>
              <w:rPr>
                <w:rFonts w:ascii="Georgia" w:eastAsia="Times New Roman" w:hAnsi="Georgia" w:cs="Calibri"/>
                <w:b/>
                <w:bCs/>
                <w:color w:val="000000"/>
                <w:sz w:val="20"/>
                <w:szCs w:val="20"/>
                <w:u w:val="single"/>
              </w:rPr>
            </w:pPr>
          </w:p>
        </w:tc>
        <w:tc>
          <w:tcPr>
            <w:tcW w:w="5727" w:type="dxa"/>
            <w:tcBorders>
              <w:top w:val="nil"/>
              <w:left w:val="nil"/>
              <w:bottom w:val="nil"/>
              <w:right w:val="nil"/>
            </w:tcBorders>
            <w:shd w:val="clear" w:color="auto" w:fill="auto"/>
            <w:noWrap/>
            <w:vAlign w:val="bottom"/>
            <w:hideMark/>
          </w:tcPr>
          <w:p w:rsidR="008F7E09" w:rsidRPr="00A6065B" w:rsidRDefault="008F7E09" w:rsidP="00693A94">
            <w:pPr>
              <w:rPr>
                <w:rFonts w:ascii="Georgia" w:eastAsia="Times New Roman" w:hAnsi="Georgia" w:cs="Calibri"/>
                <w:color w:val="000000"/>
              </w:rPr>
            </w:pPr>
          </w:p>
        </w:tc>
      </w:tr>
      <w:tr w:rsidR="008F7E09" w:rsidRPr="00A6065B" w:rsidTr="008F7E09">
        <w:trPr>
          <w:trHeight w:val="323"/>
        </w:trPr>
        <w:tc>
          <w:tcPr>
            <w:tcW w:w="2520"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8F7E09" w:rsidRPr="00A6065B" w:rsidRDefault="008F7E09" w:rsidP="00693A94">
            <w:pPr>
              <w:jc w:val="center"/>
              <w:rPr>
                <w:rFonts w:ascii="Georgia" w:eastAsia="Times New Roman" w:hAnsi="Georgia" w:cs="Calibri"/>
                <w:b/>
                <w:bCs/>
                <w:i/>
                <w:iCs/>
                <w:color w:val="000000"/>
              </w:rPr>
            </w:pPr>
            <w:r w:rsidRPr="00A6065B">
              <w:rPr>
                <w:rFonts w:ascii="Georgia" w:eastAsia="Times New Roman" w:hAnsi="Georgia" w:cs="Calibri"/>
                <w:b/>
                <w:bCs/>
                <w:i/>
                <w:iCs/>
                <w:color w:val="000000"/>
              </w:rPr>
              <w:t>Rubro</w:t>
            </w:r>
          </w:p>
        </w:tc>
        <w:tc>
          <w:tcPr>
            <w:tcW w:w="5727" w:type="dxa"/>
            <w:tcBorders>
              <w:top w:val="single" w:sz="4" w:space="0" w:color="auto"/>
              <w:left w:val="nil"/>
              <w:bottom w:val="single" w:sz="4" w:space="0" w:color="auto"/>
              <w:right w:val="single" w:sz="4" w:space="0" w:color="auto"/>
            </w:tcBorders>
            <w:shd w:val="clear" w:color="000000" w:fill="B7DEE8"/>
            <w:vAlign w:val="center"/>
            <w:hideMark/>
          </w:tcPr>
          <w:p w:rsidR="008F7E09" w:rsidRPr="00A6065B" w:rsidRDefault="008F7E09" w:rsidP="00693A94">
            <w:pPr>
              <w:jc w:val="center"/>
              <w:rPr>
                <w:rFonts w:ascii="Georgia" w:eastAsia="Times New Roman" w:hAnsi="Georgia" w:cs="Calibri"/>
                <w:b/>
                <w:bCs/>
                <w:i/>
                <w:iCs/>
                <w:color w:val="000000"/>
              </w:rPr>
            </w:pPr>
            <w:r w:rsidRPr="00A6065B">
              <w:rPr>
                <w:rFonts w:ascii="Georgia" w:eastAsia="Times New Roman" w:hAnsi="Georgia" w:cs="Calibri"/>
                <w:b/>
                <w:bCs/>
                <w:i/>
                <w:iCs/>
                <w:color w:val="000000"/>
              </w:rPr>
              <w:t>Detalle</w:t>
            </w:r>
          </w:p>
        </w:tc>
      </w:tr>
      <w:tr w:rsidR="008F7E09" w:rsidRPr="00A6065B" w:rsidTr="008F7E09">
        <w:trPr>
          <w:trHeight w:val="323"/>
        </w:trPr>
        <w:tc>
          <w:tcPr>
            <w:tcW w:w="2520" w:type="dxa"/>
            <w:vMerge w:val="restart"/>
            <w:tcBorders>
              <w:top w:val="nil"/>
              <w:left w:val="single" w:sz="4" w:space="0" w:color="auto"/>
              <w:bottom w:val="nil"/>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DEUDAS - CUENTAS A PAGAR</w:t>
            </w:r>
          </w:p>
        </w:tc>
        <w:tc>
          <w:tcPr>
            <w:tcW w:w="572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Análisi</w:t>
            </w:r>
            <w:r w:rsidR="008201AE">
              <w:rPr>
                <w:rFonts w:ascii="Georgia" w:eastAsia="Times New Roman" w:hAnsi="Georgia" w:cs="Calibri"/>
                <w:color w:val="000000"/>
                <w:sz w:val="20"/>
                <w:szCs w:val="20"/>
              </w:rPr>
              <w:t xml:space="preserve">s de la composición por deudor </w:t>
            </w:r>
            <w:r w:rsidRPr="00A6065B">
              <w:rPr>
                <w:rFonts w:ascii="Georgia" w:eastAsia="Times New Roman" w:hAnsi="Georgia" w:cs="Calibri"/>
                <w:color w:val="000000"/>
                <w:sz w:val="20"/>
                <w:szCs w:val="20"/>
              </w:rPr>
              <w:t>y por factura.</w:t>
            </w:r>
          </w:p>
        </w:tc>
      </w:tr>
      <w:tr w:rsidR="008F7E09" w:rsidRPr="00A6065B" w:rsidTr="008F7E09">
        <w:trPr>
          <w:trHeight w:val="323"/>
        </w:trPr>
        <w:tc>
          <w:tcPr>
            <w:tcW w:w="2520" w:type="dxa"/>
            <w:vMerge/>
            <w:tcBorders>
              <w:top w:val="nil"/>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 xml:space="preserve">2- </w:t>
            </w:r>
            <w:proofErr w:type="spellStart"/>
            <w:r w:rsidRPr="00A6065B">
              <w:rPr>
                <w:rFonts w:ascii="Georgia" w:eastAsia="Times New Roman" w:hAnsi="Georgia" w:cs="Calibri"/>
                <w:sz w:val="20"/>
                <w:szCs w:val="20"/>
              </w:rPr>
              <w:t>An</w:t>
            </w:r>
            <w:r w:rsidR="008201AE">
              <w:rPr>
                <w:rFonts w:ascii="Georgia" w:eastAsia="Times New Roman" w:hAnsi="Georgia" w:cs="Calibri"/>
                <w:sz w:val="20"/>
                <w:szCs w:val="20"/>
              </w:rPr>
              <w:t>ticuación</w:t>
            </w:r>
            <w:proofErr w:type="spellEnd"/>
            <w:r w:rsidR="008201AE">
              <w:rPr>
                <w:rFonts w:ascii="Georgia" w:eastAsia="Times New Roman" w:hAnsi="Georgia" w:cs="Calibri"/>
                <w:sz w:val="20"/>
                <w:szCs w:val="20"/>
              </w:rPr>
              <w:t xml:space="preserve"> de cuentas por pagar </w:t>
            </w:r>
            <w:r w:rsidRPr="00A6065B">
              <w:rPr>
                <w:rFonts w:ascii="Georgia" w:eastAsia="Times New Roman" w:hAnsi="Georgia" w:cs="Calibri"/>
                <w:sz w:val="20"/>
                <w:szCs w:val="20"/>
              </w:rPr>
              <w:t>y análisis de razonabilidad.</w:t>
            </w:r>
          </w:p>
        </w:tc>
      </w:tr>
      <w:tr w:rsidR="008F7E09" w:rsidRPr="00A6065B" w:rsidTr="008F7E09">
        <w:trPr>
          <w:trHeight w:val="323"/>
        </w:trPr>
        <w:tc>
          <w:tcPr>
            <w:tcW w:w="2520" w:type="dxa"/>
            <w:vMerge/>
            <w:tcBorders>
              <w:top w:val="nil"/>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3- Revisión de pagos posteriores</w:t>
            </w:r>
          </w:p>
        </w:tc>
      </w:tr>
      <w:tr w:rsidR="008F7E09" w:rsidRPr="00A6065B" w:rsidTr="008F7E09">
        <w:trPr>
          <w:trHeight w:val="323"/>
        </w:trPr>
        <w:tc>
          <w:tcPr>
            <w:tcW w:w="2520" w:type="dxa"/>
            <w:vMerge/>
            <w:tcBorders>
              <w:top w:val="nil"/>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201AE" w:rsidP="00693A94">
            <w:pPr>
              <w:jc w:val="both"/>
              <w:rPr>
                <w:rFonts w:ascii="Georgia" w:eastAsia="Times New Roman" w:hAnsi="Georgia" w:cs="Calibri"/>
                <w:color w:val="000000"/>
                <w:sz w:val="20"/>
                <w:szCs w:val="20"/>
              </w:rPr>
            </w:pPr>
            <w:r>
              <w:rPr>
                <w:rFonts w:ascii="Georgia" w:eastAsia="Times New Roman" w:hAnsi="Georgia" w:cs="Calibri"/>
                <w:color w:val="000000"/>
                <w:sz w:val="20"/>
                <w:szCs w:val="20"/>
              </w:rPr>
              <w:t xml:space="preserve">4- </w:t>
            </w:r>
            <w:proofErr w:type="spellStart"/>
            <w:r w:rsidR="008F7E09" w:rsidRPr="00A6065B">
              <w:rPr>
                <w:rFonts w:ascii="Georgia" w:eastAsia="Times New Roman" w:hAnsi="Georgia" w:cs="Calibri"/>
                <w:color w:val="000000"/>
                <w:sz w:val="20"/>
                <w:szCs w:val="20"/>
              </w:rPr>
              <w:t>Ci</w:t>
            </w:r>
            <w:r>
              <w:rPr>
                <w:rFonts w:ascii="Georgia" w:eastAsia="Times New Roman" w:hAnsi="Georgia" w:cs="Calibri"/>
                <w:color w:val="000000"/>
                <w:sz w:val="20"/>
                <w:szCs w:val="20"/>
              </w:rPr>
              <w:t>rcularizaciones</w:t>
            </w:r>
            <w:proofErr w:type="spellEnd"/>
            <w:r>
              <w:rPr>
                <w:rFonts w:ascii="Georgia" w:eastAsia="Times New Roman" w:hAnsi="Georgia" w:cs="Calibri"/>
                <w:color w:val="000000"/>
                <w:sz w:val="20"/>
                <w:szCs w:val="20"/>
              </w:rPr>
              <w:t xml:space="preserve"> (por muestreo) </w:t>
            </w:r>
            <w:r w:rsidR="008F7E09" w:rsidRPr="00A6065B">
              <w:rPr>
                <w:rFonts w:ascii="Georgia" w:eastAsia="Times New Roman" w:hAnsi="Georgia" w:cs="Calibri"/>
                <w:color w:val="000000"/>
                <w:sz w:val="20"/>
                <w:szCs w:val="20"/>
              </w:rPr>
              <w:t>para validar saldos.</w:t>
            </w:r>
          </w:p>
        </w:tc>
      </w:tr>
      <w:tr w:rsidR="008F7E09" w:rsidRPr="00A6065B" w:rsidTr="008F7E09">
        <w:trPr>
          <w:trHeight w:val="323"/>
        </w:trPr>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DEUDAS - RETENCIONES A PAGAR</w:t>
            </w:r>
          </w:p>
        </w:tc>
        <w:tc>
          <w:tcPr>
            <w:tcW w:w="572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Análisis de la composición.</w:t>
            </w:r>
          </w:p>
        </w:tc>
      </w:tr>
      <w:tr w:rsidR="008F7E09" w:rsidRPr="00A6065B" w:rsidTr="008F7E09">
        <w:trPr>
          <w:trHeight w:val="323"/>
        </w:trPr>
        <w:tc>
          <w:tcPr>
            <w:tcW w:w="2520"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2- Revisión de pagos posteriores</w:t>
            </w:r>
          </w:p>
        </w:tc>
      </w:tr>
      <w:tr w:rsidR="008F7E09" w:rsidRPr="00A6065B" w:rsidTr="008F7E09">
        <w:trPr>
          <w:trHeight w:val="323"/>
        </w:trPr>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DEUDAS -Fondos Varios (Cargas administrativas Sistema de Capitalización, Previsión para siniestros, Créditos hipotecarios en $ y en U$S.)</w:t>
            </w:r>
          </w:p>
        </w:tc>
        <w:tc>
          <w:tcPr>
            <w:tcW w:w="572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 </w:t>
            </w:r>
          </w:p>
        </w:tc>
      </w:tr>
      <w:tr w:rsidR="008F7E09" w:rsidRPr="00A6065B" w:rsidTr="008F7E09">
        <w:trPr>
          <w:trHeight w:val="323"/>
        </w:trPr>
        <w:tc>
          <w:tcPr>
            <w:tcW w:w="2520"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 </w:t>
            </w:r>
          </w:p>
        </w:tc>
      </w:tr>
      <w:tr w:rsidR="008F7E09" w:rsidRPr="00A6065B" w:rsidTr="008F7E09">
        <w:trPr>
          <w:trHeight w:val="323"/>
        </w:trPr>
        <w:tc>
          <w:tcPr>
            <w:tcW w:w="2520"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Análisis de la composición.</w:t>
            </w:r>
          </w:p>
        </w:tc>
      </w:tr>
      <w:tr w:rsidR="008F7E09" w:rsidRPr="00A6065B" w:rsidTr="008F7E09">
        <w:trPr>
          <w:trHeight w:val="323"/>
        </w:trPr>
        <w:tc>
          <w:tcPr>
            <w:tcW w:w="2520"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2- Revisión de pagos posteriores</w:t>
            </w:r>
          </w:p>
        </w:tc>
      </w:tr>
      <w:tr w:rsidR="008F7E09" w:rsidRPr="00A6065B" w:rsidTr="008F7E09">
        <w:trPr>
          <w:trHeight w:val="323"/>
        </w:trPr>
        <w:tc>
          <w:tcPr>
            <w:tcW w:w="2520"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 </w:t>
            </w:r>
          </w:p>
        </w:tc>
      </w:tr>
      <w:tr w:rsidR="008F7E09" w:rsidRPr="00A6065B" w:rsidTr="008F7E09">
        <w:trPr>
          <w:trHeight w:val="323"/>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27" w:type="dxa"/>
            <w:tcBorders>
              <w:top w:val="nil"/>
              <w:left w:val="nil"/>
              <w:bottom w:val="single" w:sz="4" w:space="0" w:color="auto"/>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 </w:t>
            </w:r>
          </w:p>
        </w:tc>
      </w:tr>
      <w:tr w:rsidR="008F7E09" w:rsidRPr="00A6065B" w:rsidTr="008F7E09">
        <w:trPr>
          <w:trHeight w:val="339"/>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PATRIMONIO NETO</w:t>
            </w:r>
          </w:p>
        </w:tc>
        <w:tc>
          <w:tcPr>
            <w:tcW w:w="5727"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Análisis de las reclasificaciones y variaciones.</w:t>
            </w:r>
          </w:p>
        </w:tc>
      </w:tr>
    </w:tbl>
    <w:p w:rsidR="008F7E09" w:rsidRDefault="008F7E09" w:rsidP="008F7E09">
      <w:pPr>
        <w:spacing w:line="360" w:lineRule="auto"/>
        <w:jc w:val="both"/>
        <w:rPr>
          <w:rFonts w:ascii="Faustina" w:eastAsia="Arial" w:hAnsi="Faustina" w:cs="Arial"/>
          <w:sz w:val="22"/>
          <w:szCs w:val="22"/>
        </w:rPr>
      </w:pPr>
    </w:p>
    <w:p w:rsidR="00F568B7" w:rsidRDefault="00F568B7" w:rsidP="008F7E09">
      <w:pPr>
        <w:spacing w:line="360" w:lineRule="auto"/>
        <w:jc w:val="both"/>
        <w:rPr>
          <w:rFonts w:ascii="Faustina" w:eastAsia="Arial" w:hAnsi="Faustina" w:cs="Arial"/>
          <w:sz w:val="22"/>
          <w:szCs w:val="22"/>
        </w:rPr>
      </w:pPr>
    </w:p>
    <w:tbl>
      <w:tblPr>
        <w:tblW w:w="8234" w:type="dxa"/>
        <w:tblInd w:w="60" w:type="dxa"/>
        <w:tblCellMar>
          <w:left w:w="70" w:type="dxa"/>
          <w:right w:w="70" w:type="dxa"/>
        </w:tblCellMar>
        <w:tblLook w:val="04A0" w:firstRow="1" w:lastRow="0" w:firstColumn="1" w:lastColumn="0" w:noHBand="0" w:noVBand="1"/>
      </w:tblPr>
      <w:tblGrid>
        <w:gridCol w:w="2517"/>
        <w:gridCol w:w="5717"/>
      </w:tblGrid>
      <w:tr w:rsidR="008F7E09" w:rsidRPr="00A6065B" w:rsidTr="008F7E09">
        <w:trPr>
          <w:trHeight w:val="261"/>
        </w:trPr>
        <w:tc>
          <w:tcPr>
            <w:tcW w:w="2517" w:type="dxa"/>
            <w:tcBorders>
              <w:top w:val="nil"/>
              <w:left w:val="nil"/>
              <w:bottom w:val="nil"/>
              <w:right w:val="nil"/>
            </w:tcBorders>
            <w:shd w:val="clear" w:color="auto" w:fill="auto"/>
            <w:noWrap/>
            <w:vAlign w:val="center"/>
            <w:hideMark/>
          </w:tcPr>
          <w:p w:rsidR="008F7E09" w:rsidRPr="00A6065B" w:rsidRDefault="008F7E09" w:rsidP="00693A94">
            <w:pPr>
              <w:rPr>
                <w:rFonts w:ascii="Georgia" w:eastAsia="Times New Roman" w:hAnsi="Georgia" w:cs="Calibri"/>
                <w:b/>
                <w:bCs/>
                <w:color w:val="000000"/>
                <w:sz w:val="20"/>
                <w:szCs w:val="20"/>
                <w:u w:val="single"/>
              </w:rPr>
            </w:pPr>
            <w:r w:rsidRPr="00A6065B">
              <w:rPr>
                <w:rFonts w:ascii="Georgia" w:eastAsia="Times New Roman" w:hAnsi="Georgia" w:cs="Calibri"/>
                <w:b/>
                <w:bCs/>
                <w:color w:val="000000"/>
                <w:sz w:val="20"/>
                <w:szCs w:val="20"/>
                <w:u w:val="single"/>
              </w:rPr>
              <w:t>RESULTADO - INGRESOS</w:t>
            </w:r>
          </w:p>
        </w:tc>
        <w:tc>
          <w:tcPr>
            <w:tcW w:w="5717" w:type="dxa"/>
            <w:tcBorders>
              <w:top w:val="nil"/>
              <w:left w:val="nil"/>
              <w:bottom w:val="nil"/>
              <w:right w:val="nil"/>
            </w:tcBorders>
            <w:shd w:val="clear" w:color="auto" w:fill="auto"/>
            <w:noWrap/>
            <w:vAlign w:val="bottom"/>
            <w:hideMark/>
          </w:tcPr>
          <w:p w:rsidR="008F7E09" w:rsidRPr="00A6065B" w:rsidRDefault="008F7E09" w:rsidP="00693A94">
            <w:pPr>
              <w:rPr>
                <w:rFonts w:ascii="Georgia" w:eastAsia="Times New Roman" w:hAnsi="Georgia" w:cs="Calibri"/>
                <w:color w:val="000000"/>
              </w:rPr>
            </w:pPr>
          </w:p>
        </w:tc>
      </w:tr>
      <w:tr w:rsidR="008F7E09" w:rsidRPr="00A6065B" w:rsidTr="008F7E09">
        <w:trPr>
          <w:trHeight w:val="261"/>
        </w:trPr>
        <w:tc>
          <w:tcPr>
            <w:tcW w:w="2517" w:type="dxa"/>
            <w:tcBorders>
              <w:top w:val="nil"/>
              <w:left w:val="nil"/>
              <w:bottom w:val="nil"/>
              <w:right w:val="nil"/>
            </w:tcBorders>
            <w:shd w:val="clear" w:color="auto" w:fill="auto"/>
            <w:noWrap/>
            <w:vAlign w:val="center"/>
            <w:hideMark/>
          </w:tcPr>
          <w:p w:rsidR="008F7E09" w:rsidRPr="00A6065B" w:rsidRDefault="008F7E09" w:rsidP="00693A94">
            <w:pPr>
              <w:jc w:val="center"/>
              <w:rPr>
                <w:rFonts w:ascii="Georgia" w:eastAsia="Times New Roman" w:hAnsi="Georgia" w:cs="Calibri"/>
                <w:b/>
                <w:bCs/>
                <w:color w:val="000000"/>
                <w:sz w:val="20"/>
                <w:szCs w:val="20"/>
                <w:u w:val="single"/>
              </w:rPr>
            </w:pPr>
          </w:p>
        </w:tc>
        <w:tc>
          <w:tcPr>
            <w:tcW w:w="5717" w:type="dxa"/>
            <w:tcBorders>
              <w:top w:val="nil"/>
              <w:left w:val="nil"/>
              <w:bottom w:val="nil"/>
              <w:right w:val="nil"/>
            </w:tcBorders>
            <w:shd w:val="clear" w:color="auto" w:fill="auto"/>
            <w:noWrap/>
            <w:vAlign w:val="bottom"/>
            <w:hideMark/>
          </w:tcPr>
          <w:p w:rsidR="008F7E09" w:rsidRPr="00A6065B" w:rsidRDefault="008F7E09" w:rsidP="00693A94">
            <w:pPr>
              <w:rPr>
                <w:rFonts w:ascii="Georgia" w:eastAsia="Times New Roman" w:hAnsi="Georgia" w:cs="Calibri"/>
                <w:color w:val="000000"/>
              </w:rPr>
            </w:pPr>
          </w:p>
        </w:tc>
      </w:tr>
      <w:tr w:rsidR="008F7E09" w:rsidRPr="00A6065B" w:rsidTr="008F7E09">
        <w:trPr>
          <w:trHeight w:val="261"/>
        </w:trPr>
        <w:tc>
          <w:tcPr>
            <w:tcW w:w="2517"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8F7E09" w:rsidRPr="00A6065B" w:rsidRDefault="008F7E09" w:rsidP="00693A94">
            <w:pPr>
              <w:jc w:val="center"/>
              <w:rPr>
                <w:rFonts w:ascii="Georgia" w:eastAsia="Times New Roman" w:hAnsi="Georgia" w:cs="Calibri"/>
                <w:b/>
                <w:bCs/>
                <w:i/>
                <w:iCs/>
                <w:color w:val="000000"/>
              </w:rPr>
            </w:pPr>
            <w:r w:rsidRPr="00A6065B">
              <w:rPr>
                <w:rFonts w:ascii="Georgia" w:eastAsia="Times New Roman" w:hAnsi="Georgia" w:cs="Calibri"/>
                <w:b/>
                <w:bCs/>
                <w:i/>
                <w:iCs/>
                <w:color w:val="000000"/>
              </w:rPr>
              <w:t>Rubro</w:t>
            </w:r>
          </w:p>
        </w:tc>
        <w:tc>
          <w:tcPr>
            <w:tcW w:w="5717" w:type="dxa"/>
            <w:tcBorders>
              <w:top w:val="single" w:sz="4" w:space="0" w:color="auto"/>
              <w:left w:val="nil"/>
              <w:bottom w:val="single" w:sz="4" w:space="0" w:color="auto"/>
              <w:right w:val="single" w:sz="4" w:space="0" w:color="auto"/>
            </w:tcBorders>
            <w:shd w:val="clear" w:color="000000" w:fill="B7DEE8"/>
            <w:vAlign w:val="center"/>
            <w:hideMark/>
          </w:tcPr>
          <w:p w:rsidR="008F7E09" w:rsidRPr="00A6065B" w:rsidRDefault="008F7E09" w:rsidP="00693A94">
            <w:pPr>
              <w:jc w:val="center"/>
              <w:rPr>
                <w:rFonts w:ascii="Georgia" w:eastAsia="Times New Roman" w:hAnsi="Georgia" w:cs="Calibri"/>
                <w:b/>
                <w:bCs/>
                <w:i/>
                <w:iCs/>
                <w:color w:val="000000"/>
              </w:rPr>
            </w:pPr>
            <w:r w:rsidRPr="00A6065B">
              <w:rPr>
                <w:rFonts w:ascii="Georgia" w:eastAsia="Times New Roman" w:hAnsi="Georgia" w:cs="Calibri"/>
                <w:b/>
                <w:bCs/>
                <w:i/>
                <w:iCs/>
                <w:color w:val="000000"/>
              </w:rPr>
              <w:t>Detalle</w:t>
            </w:r>
          </w:p>
        </w:tc>
      </w:tr>
      <w:tr w:rsidR="008F7E09" w:rsidRPr="00A6065B" w:rsidTr="008F7E09">
        <w:trPr>
          <w:trHeight w:val="261"/>
        </w:trPr>
        <w:tc>
          <w:tcPr>
            <w:tcW w:w="2517"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INGRESOS - CONTRIBUCIONES A LA SEGURIDAD SOCIAL</w:t>
            </w:r>
          </w:p>
        </w:tc>
        <w:tc>
          <w:tcPr>
            <w:tcW w:w="571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Pruebas globales de razonabilidad</w:t>
            </w:r>
          </w:p>
        </w:tc>
      </w:tr>
      <w:tr w:rsidR="008F7E09" w:rsidRPr="00A6065B" w:rsidTr="008F7E09">
        <w:trPr>
          <w:trHeight w:val="261"/>
        </w:trPr>
        <w:tc>
          <w:tcPr>
            <w:tcW w:w="2517"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2- Análisis por muestreo</w:t>
            </w:r>
          </w:p>
        </w:tc>
      </w:tr>
      <w:tr w:rsidR="008F7E09" w:rsidRPr="00A6065B" w:rsidTr="008F7E09">
        <w:trPr>
          <w:trHeight w:val="261"/>
        </w:trPr>
        <w:tc>
          <w:tcPr>
            <w:tcW w:w="2517"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nil"/>
              <w:left w:val="nil"/>
              <w:bottom w:val="nil"/>
              <w:right w:val="single" w:sz="4" w:space="0" w:color="auto"/>
            </w:tcBorders>
            <w:shd w:val="clear" w:color="auto" w:fill="auto"/>
            <w:vAlign w:val="center"/>
            <w:hideMark/>
          </w:tcPr>
          <w:p w:rsidR="008F7E09" w:rsidRPr="00A6065B" w:rsidRDefault="008F7E09" w:rsidP="00693A94">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w:t>
            </w:r>
          </w:p>
        </w:tc>
      </w:tr>
      <w:tr w:rsidR="008F7E09" w:rsidRPr="00A6065B" w:rsidTr="008F7E09">
        <w:trPr>
          <w:trHeight w:val="261"/>
        </w:trPr>
        <w:tc>
          <w:tcPr>
            <w:tcW w:w="2517"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INGRESOS - RENTAS DE LA PROPIEDAD</w:t>
            </w:r>
          </w:p>
        </w:tc>
        <w:tc>
          <w:tcPr>
            <w:tcW w:w="571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Pruebas globales de razonabilidad</w:t>
            </w:r>
          </w:p>
        </w:tc>
      </w:tr>
      <w:tr w:rsidR="008F7E09" w:rsidRPr="00A6065B" w:rsidTr="008F7E09">
        <w:trPr>
          <w:trHeight w:val="261"/>
        </w:trPr>
        <w:tc>
          <w:tcPr>
            <w:tcW w:w="2517"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2- Análisis por muestreo</w:t>
            </w:r>
          </w:p>
        </w:tc>
      </w:tr>
      <w:tr w:rsidR="008F7E09" w:rsidRPr="00A6065B" w:rsidTr="008F7E09">
        <w:trPr>
          <w:trHeight w:val="261"/>
        </w:trPr>
        <w:tc>
          <w:tcPr>
            <w:tcW w:w="2517"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nil"/>
              <w:left w:val="nil"/>
              <w:bottom w:val="nil"/>
              <w:right w:val="single" w:sz="4" w:space="0" w:color="auto"/>
            </w:tcBorders>
            <w:shd w:val="clear" w:color="auto" w:fill="auto"/>
            <w:vAlign w:val="center"/>
            <w:hideMark/>
          </w:tcPr>
          <w:p w:rsidR="008F7E09" w:rsidRPr="00A6065B" w:rsidRDefault="008F7E09" w:rsidP="00693A94">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w:t>
            </w:r>
          </w:p>
        </w:tc>
      </w:tr>
      <w:tr w:rsidR="008F7E09" w:rsidRPr="00A6065B" w:rsidTr="008F7E09">
        <w:trPr>
          <w:trHeight w:val="261"/>
        </w:trPr>
        <w:tc>
          <w:tcPr>
            <w:tcW w:w="2517"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INGRESOS - CONTRIBUCIONES RECIBIDAS</w:t>
            </w:r>
          </w:p>
        </w:tc>
        <w:tc>
          <w:tcPr>
            <w:tcW w:w="5717" w:type="dxa"/>
            <w:tcBorders>
              <w:top w:val="single" w:sz="4" w:space="0" w:color="auto"/>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Pruebas globales de razonabilidad</w:t>
            </w:r>
          </w:p>
        </w:tc>
      </w:tr>
      <w:tr w:rsidR="008F7E09" w:rsidRPr="00A6065B" w:rsidTr="008F7E09">
        <w:trPr>
          <w:trHeight w:val="261"/>
        </w:trPr>
        <w:tc>
          <w:tcPr>
            <w:tcW w:w="2517" w:type="dxa"/>
            <w:vMerge/>
            <w:tcBorders>
              <w:top w:val="single" w:sz="4" w:space="0" w:color="auto"/>
              <w:left w:val="single" w:sz="4" w:space="0" w:color="auto"/>
              <w:bottom w:val="nil"/>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nil"/>
              <w:left w:val="nil"/>
              <w:bottom w:val="nil"/>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2- Análisis por muestreo</w:t>
            </w:r>
          </w:p>
        </w:tc>
      </w:tr>
      <w:tr w:rsidR="008F7E09" w:rsidRPr="00A6065B" w:rsidTr="008F7E09">
        <w:trPr>
          <w:trHeight w:val="26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nil"/>
              <w:left w:val="nil"/>
              <w:bottom w:val="single" w:sz="4" w:space="0" w:color="auto"/>
              <w:right w:val="single" w:sz="4" w:space="0" w:color="auto"/>
            </w:tcBorders>
            <w:shd w:val="clear" w:color="auto" w:fill="auto"/>
            <w:vAlign w:val="center"/>
            <w:hideMark/>
          </w:tcPr>
          <w:p w:rsidR="008F7E09" w:rsidRPr="00A6065B" w:rsidRDefault="008F7E09" w:rsidP="00693A94">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w:t>
            </w:r>
          </w:p>
        </w:tc>
      </w:tr>
      <w:tr w:rsidR="008F7E09" w:rsidRPr="00A6065B" w:rsidTr="008F7E09">
        <w:trPr>
          <w:trHeight w:val="261"/>
        </w:trPr>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E09" w:rsidRPr="00A6065B" w:rsidRDefault="008F7E09" w:rsidP="00693A94">
            <w:pPr>
              <w:jc w:val="center"/>
              <w:rPr>
                <w:rFonts w:ascii="Georgia" w:eastAsia="Times New Roman" w:hAnsi="Georgia" w:cs="Calibri"/>
                <w:b/>
                <w:bCs/>
                <w:color w:val="000000"/>
                <w:sz w:val="20"/>
                <w:szCs w:val="20"/>
              </w:rPr>
            </w:pPr>
            <w:r w:rsidRPr="00A6065B">
              <w:rPr>
                <w:rFonts w:ascii="Georgia" w:eastAsia="Times New Roman" w:hAnsi="Georgia" w:cs="Calibri"/>
                <w:b/>
                <w:bCs/>
                <w:color w:val="000000"/>
                <w:sz w:val="20"/>
                <w:szCs w:val="20"/>
              </w:rPr>
              <w:t>INGRESOS - OTROS INGRESOS</w:t>
            </w:r>
          </w:p>
        </w:tc>
        <w:tc>
          <w:tcPr>
            <w:tcW w:w="5717"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color w:val="000000"/>
                <w:sz w:val="20"/>
                <w:szCs w:val="20"/>
              </w:rPr>
            </w:pPr>
            <w:r w:rsidRPr="00A6065B">
              <w:rPr>
                <w:rFonts w:ascii="Georgia" w:eastAsia="Times New Roman" w:hAnsi="Georgia" w:cs="Calibri"/>
                <w:color w:val="000000"/>
                <w:sz w:val="20"/>
                <w:szCs w:val="20"/>
              </w:rPr>
              <w:t>1- Pruebas globales de razonabilidad</w:t>
            </w:r>
          </w:p>
        </w:tc>
      </w:tr>
      <w:tr w:rsidR="008F7E09" w:rsidRPr="00A6065B" w:rsidTr="008F7E09">
        <w:trPr>
          <w:trHeight w:val="26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F7E09" w:rsidP="00693A94">
            <w:pPr>
              <w:rPr>
                <w:rFonts w:ascii="Georgia" w:eastAsia="Times New Roman" w:hAnsi="Georgia" w:cs="Calibri"/>
                <w:sz w:val="20"/>
                <w:szCs w:val="20"/>
              </w:rPr>
            </w:pPr>
            <w:r w:rsidRPr="00A6065B">
              <w:rPr>
                <w:rFonts w:ascii="Georgia" w:eastAsia="Times New Roman" w:hAnsi="Georgia" w:cs="Calibri"/>
                <w:sz w:val="20"/>
                <w:szCs w:val="20"/>
              </w:rPr>
              <w:t>2- Análisis por muestreo</w:t>
            </w:r>
          </w:p>
        </w:tc>
      </w:tr>
      <w:tr w:rsidR="008F7E09" w:rsidRPr="00A6065B" w:rsidTr="008F7E09">
        <w:trPr>
          <w:trHeight w:val="261"/>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8F7E09" w:rsidRPr="00A6065B" w:rsidRDefault="008F7E09" w:rsidP="00693A94">
            <w:pPr>
              <w:rPr>
                <w:rFonts w:ascii="Georgia" w:eastAsia="Times New Roman" w:hAnsi="Georgia" w:cs="Calibri"/>
                <w:b/>
                <w:bCs/>
                <w:color w:val="000000"/>
                <w:sz w:val="20"/>
                <w:szCs w:val="20"/>
              </w:rPr>
            </w:pPr>
          </w:p>
        </w:tc>
        <w:tc>
          <w:tcPr>
            <w:tcW w:w="5717" w:type="dxa"/>
            <w:tcBorders>
              <w:top w:val="single" w:sz="4" w:space="0" w:color="auto"/>
              <w:left w:val="nil"/>
              <w:bottom w:val="single" w:sz="4" w:space="0" w:color="auto"/>
              <w:right w:val="single" w:sz="4" w:space="0" w:color="auto"/>
            </w:tcBorders>
            <w:shd w:val="clear" w:color="auto" w:fill="auto"/>
            <w:vAlign w:val="center"/>
            <w:hideMark/>
          </w:tcPr>
          <w:p w:rsidR="008F7E09" w:rsidRPr="00A6065B" w:rsidRDefault="008F7E09" w:rsidP="00693A94">
            <w:pPr>
              <w:jc w:val="both"/>
              <w:rPr>
                <w:rFonts w:ascii="Georgia" w:eastAsia="Times New Roman" w:hAnsi="Georgia" w:cs="Calibri"/>
                <w:color w:val="000000"/>
                <w:sz w:val="20"/>
                <w:szCs w:val="20"/>
              </w:rPr>
            </w:pPr>
            <w:r w:rsidRPr="00A6065B">
              <w:rPr>
                <w:rFonts w:ascii="Georgia" w:eastAsia="Times New Roman" w:hAnsi="Georgia" w:cs="Calibri"/>
                <w:color w:val="000000"/>
                <w:sz w:val="20"/>
                <w:szCs w:val="20"/>
              </w:rPr>
              <w:t> </w:t>
            </w:r>
          </w:p>
        </w:tc>
      </w:tr>
    </w:tbl>
    <w:p w:rsidR="00F568B7" w:rsidRDefault="00F568B7" w:rsidP="003023D2">
      <w:pPr>
        <w:spacing w:line="360" w:lineRule="auto"/>
        <w:jc w:val="both"/>
        <w:rPr>
          <w:rFonts w:ascii="Faustina" w:eastAsia="Arial" w:hAnsi="Faustina" w:cs="Arial"/>
          <w:sz w:val="22"/>
          <w:szCs w:val="22"/>
        </w:rPr>
      </w:pPr>
    </w:p>
    <w:p w:rsidR="00F568B7" w:rsidRDefault="00F568B7">
      <w:pPr>
        <w:rPr>
          <w:rFonts w:ascii="Faustina" w:eastAsia="Arial" w:hAnsi="Faustina" w:cs="Arial"/>
          <w:sz w:val="22"/>
          <w:szCs w:val="22"/>
        </w:rPr>
      </w:pPr>
      <w:r>
        <w:rPr>
          <w:rFonts w:ascii="Faustina" w:eastAsia="Arial" w:hAnsi="Faustina" w:cs="Arial"/>
          <w:sz w:val="22"/>
          <w:szCs w:val="22"/>
        </w:rPr>
        <w:br w:type="page"/>
      </w:r>
    </w:p>
    <w:tbl>
      <w:tblPr>
        <w:tblW w:w="8129" w:type="dxa"/>
        <w:tblInd w:w="60" w:type="dxa"/>
        <w:tblCellMar>
          <w:left w:w="70" w:type="dxa"/>
          <w:right w:w="70" w:type="dxa"/>
        </w:tblCellMar>
        <w:tblLook w:val="04A0" w:firstRow="1" w:lastRow="0" w:firstColumn="1" w:lastColumn="0" w:noHBand="0" w:noVBand="1"/>
      </w:tblPr>
      <w:tblGrid>
        <w:gridCol w:w="2485"/>
        <w:gridCol w:w="5644"/>
      </w:tblGrid>
      <w:tr w:rsidR="008F7E09" w:rsidRPr="00C014A1" w:rsidTr="008F7E09">
        <w:trPr>
          <w:trHeight w:val="270"/>
        </w:trPr>
        <w:tc>
          <w:tcPr>
            <w:tcW w:w="2485" w:type="dxa"/>
            <w:tcBorders>
              <w:top w:val="nil"/>
              <w:left w:val="nil"/>
              <w:bottom w:val="nil"/>
              <w:right w:val="nil"/>
            </w:tcBorders>
            <w:shd w:val="clear" w:color="auto" w:fill="auto"/>
            <w:noWrap/>
            <w:vAlign w:val="center"/>
            <w:hideMark/>
          </w:tcPr>
          <w:p w:rsidR="008F7E09" w:rsidRPr="00C014A1" w:rsidRDefault="008F7E09" w:rsidP="00693A94">
            <w:pPr>
              <w:rPr>
                <w:rFonts w:ascii="Georgia" w:eastAsia="Times New Roman" w:hAnsi="Georgia" w:cs="Calibri"/>
                <w:b/>
                <w:bCs/>
                <w:color w:val="000000"/>
                <w:sz w:val="20"/>
                <w:szCs w:val="20"/>
                <w:u w:val="single"/>
              </w:rPr>
            </w:pPr>
            <w:r w:rsidRPr="00C014A1">
              <w:rPr>
                <w:rFonts w:ascii="Georgia" w:eastAsia="Times New Roman" w:hAnsi="Georgia" w:cs="Calibri"/>
                <w:b/>
                <w:bCs/>
                <w:color w:val="000000"/>
                <w:sz w:val="20"/>
                <w:szCs w:val="20"/>
                <w:u w:val="single"/>
              </w:rPr>
              <w:lastRenderedPageBreak/>
              <w:t xml:space="preserve">RESULTADOS - GASTOS </w:t>
            </w:r>
          </w:p>
        </w:tc>
        <w:tc>
          <w:tcPr>
            <w:tcW w:w="5644" w:type="dxa"/>
            <w:tcBorders>
              <w:top w:val="nil"/>
              <w:left w:val="nil"/>
              <w:bottom w:val="nil"/>
              <w:right w:val="nil"/>
            </w:tcBorders>
            <w:shd w:val="clear" w:color="auto" w:fill="auto"/>
            <w:noWrap/>
            <w:vAlign w:val="bottom"/>
            <w:hideMark/>
          </w:tcPr>
          <w:p w:rsidR="008F7E09" w:rsidRPr="00C014A1" w:rsidRDefault="008F7E09" w:rsidP="00693A94">
            <w:pPr>
              <w:rPr>
                <w:rFonts w:ascii="Georgia" w:eastAsia="Times New Roman" w:hAnsi="Georgia" w:cs="Calibri"/>
                <w:color w:val="000000"/>
              </w:rPr>
            </w:pPr>
          </w:p>
        </w:tc>
      </w:tr>
      <w:tr w:rsidR="008F7E09" w:rsidRPr="00C014A1" w:rsidTr="008F7E09">
        <w:trPr>
          <w:trHeight w:val="270"/>
        </w:trPr>
        <w:tc>
          <w:tcPr>
            <w:tcW w:w="2485" w:type="dxa"/>
            <w:tcBorders>
              <w:top w:val="nil"/>
              <w:left w:val="nil"/>
              <w:bottom w:val="nil"/>
              <w:right w:val="nil"/>
            </w:tcBorders>
            <w:shd w:val="clear" w:color="auto" w:fill="auto"/>
            <w:noWrap/>
            <w:vAlign w:val="center"/>
            <w:hideMark/>
          </w:tcPr>
          <w:p w:rsidR="008F7E09" w:rsidRPr="00C014A1" w:rsidRDefault="008F7E09" w:rsidP="00693A94">
            <w:pPr>
              <w:jc w:val="center"/>
              <w:rPr>
                <w:rFonts w:ascii="Georgia" w:eastAsia="Times New Roman" w:hAnsi="Georgia" w:cs="Calibri"/>
                <w:b/>
                <w:bCs/>
                <w:color w:val="000000"/>
                <w:sz w:val="20"/>
                <w:szCs w:val="20"/>
                <w:u w:val="single"/>
              </w:rPr>
            </w:pPr>
          </w:p>
        </w:tc>
        <w:tc>
          <w:tcPr>
            <w:tcW w:w="5644" w:type="dxa"/>
            <w:tcBorders>
              <w:top w:val="nil"/>
              <w:left w:val="nil"/>
              <w:bottom w:val="nil"/>
              <w:right w:val="nil"/>
            </w:tcBorders>
            <w:shd w:val="clear" w:color="auto" w:fill="auto"/>
            <w:noWrap/>
            <w:vAlign w:val="bottom"/>
            <w:hideMark/>
          </w:tcPr>
          <w:p w:rsidR="008F7E09" w:rsidRPr="00C014A1" w:rsidRDefault="008F7E09" w:rsidP="00693A94">
            <w:pPr>
              <w:rPr>
                <w:rFonts w:ascii="Georgia" w:eastAsia="Times New Roman" w:hAnsi="Georgia" w:cs="Calibri"/>
                <w:color w:val="000000"/>
              </w:rPr>
            </w:pPr>
          </w:p>
        </w:tc>
      </w:tr>
      <w:tr w:rsidR="008F7E09" w:rsidRPr="00C014A1" w:rsidTr="008F7E09">
        <w:trPr>
          <w:trHeight w:val="270"/>
        </w:trPr>
        <w:tc>
          <w:tcPr>
            <w:tcW w:w="2485"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8F7E09" w:rsidRPr="00C014A1" w:rsidRDefault="008F7E09" w:rsidP="00693A94">
            <w:pPr>
              <w:jc w:val="center"/>
              <w:rPr>
                <w:rFonts w:ascii="Georgia" w:eastAsia="Times New Roman" w:hAnsi="Georgia" w:cs="Calibri"/>
                <w:b/>
                <w:bCs/>
                <w:i/>
                <w:iCs/>
                <w:color w:val="000000"/>
              </w:rPr>
            </w:pPr>
            <w:r w:rsidRPr="00C014A1">
              <w:rPr>
                <w:rFonts w:ascii="Georgia" w:eastAsia="Times New Roman" w:hAnsi="Georgia" w:cs="Calibri"/>
                <w:b/>
                <w:bCs/>
                <w:i/>
                <w:iCs/>
                <w:color w:val="000000"/>
              </w:rPr>
              <w:t>Rubro</w:t>
            </w:r>
          </w:p>
        </w:tc>
        <w:tc>
          <w:tcPr>
            <w:tcW w:w="5644" w:type="dxa"/>
            <w:tcBorders>
              <w:top w:val="single" w:sz="4" w:space="0" w:color="auto"/>
              <w:left w:val="nil"/>
              <w:bottom w:val="single" w:sz="4" w:space="0" w:color="auto"/>
              <w:right w:val="single" w:sz="4" w:space="0" w:color="auto"/>
            </w:tcBorders>
            <w:shd w:val="clear" w:color="000000" w:fill="B7DEE8"/>
            <w:vAlign w:val="center"/>
            <w:hideMark/>
          </w:tcPr>
          <w:p w:rsidR="008F7E09" w:rsidRPr="00C014A1" w:rsidRDefault="008F7E09" w:rsidP="00693A94">
            <w:pPr>
              <w:jc w:val="center"/>
              <w:rPr>
                <w:rFonts w:ascii="Georgia" w:eastAsia="Times New Roman" w:hAnsi="Georgia" w:cs="Calibri"/>
                <w:b/>
                <w:bCs/>
                <w:i/>
                <w:iCs/>
                <w:color w:val="000000"/>
              </w:rPr>
            </w:pPr>
            <w:r w:rsidRPr="00C014A1">
              <w:rPr>
                <w:rFonts w:ascii="Georgia" w:eastAsia="Times New Roman" w:hAnsi="Georgia" w:cs="Calibri"/>
                <w:b/>
                <w:bCs/>
                <w:i/>
                <w:iCs/>
                <w:color w:val="000000"/>
              </w:rPr>
              <w:t>Detalle</w:t>
            </w:r>
          </w:p>
        </w:tc>
      </w:tr>
      <w:tr w:rsidR="008F7E09" w:rsidRPr="00C014A1" w:rsidTr="008F7E09">
        <w:trPr>
          <w:trHeight w:val="270"/>
        </w:trPr>
        <w:tc>
          <w:tcPr>
            <w:tcW w:w="2485"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GASTOS -Sueldos y Cargas Sociales</w:t>
            </w:r>
          </w:p>
        </w:tc>
        <w:tc>
          <w:tcPr>
            <w:tcW w:w="5644"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1- Pruebas globales de razonabilidad</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sz w:val="20"/>
                <w:szCs w:val="20"/>
              </w:rPr>
            </w:pPr>
            <w:r w:rsidRPr="00C014A1">
              <w:rPr>
                <w:rFonts w:ascii="Georgia" w:eastAsia="Times New Roman" w:hAnsi="Georgia" w:cs="Calibri"/>
                <w:sz w:val="20"/>
                <w:szCs w:val="20"/>
              </w:rPr>
              <w:t>2- Análisis por muestreo de liquidaciones</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jc w:val="both"/>
              <w:rPr>
                <w:rFonts w:ascii="Georgia" w:eastAsia="Times New Roman" w:hAnsi="Georgia" w:cs="Calibri"/>
                <w:color w:val="000000"/>
                <w:sz w:val="20"/>
                <w:szCs w:val="20"/>
              </w:rPr>
            </w:pPr>
            <w:r w:rsidRPr="00C014A1">
              <w:rPr>
                <w:rFonts w:ascii="Georgia" w:eastAsia="Times New Roman" w:hAnsi="Georgia" w:cs="Calibri"/>
                <w:color w:val="000000"/>
                <w:sz w:val="20"/>
                <w:szCs w:val="20"/>
              </w:rPr>
              <w:t>3 - Validación con declaraciones juradas presentadas</w:t>
            </w:r>
          </w:p>
        </w:tc>
      </w:tr>
      <w:tr w:rsidR="008F7E09" w:rsidRPr="00C014A1" w:rsidTr="008F7E09">
        <w:trPr>
          <w:trHeight w:val="270"/>
        </w:trPr>
        <w:tc>
          <w:tcPr>
            <w:tcW w:w="2485"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GASTOS -Bienes y Servicios</w:t>
            </w:r>
          </w:p>
        </w:tc>
        <w:tc>
          <w:tcPr>
            <w:tcW w:w="5644"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1- Pruebas globales de razonabilidad</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sz w:val="20"/>
                <w:szCs w:val="20"/>
              </w:rPr>
            </w:pPr>
            <w:r w:rsidRPr="00C014A1">
              <w:rPr>
                <w:rFonts w:ascii="Georgia" w:eastAsia="Times New Roman" w:hAnsi="Georgia" w:cs="Calibri"/>
                <w:sz w:val="20"/>
                <w:szCs w:val="20"/>
              </w:rPr>
              <w:t>2- Análisis por muestreo de liquidaciones</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201AE" w:rsidP="00693A94">
            <w:pPr>
              <w:jc w:val="both"/>
              <w:rPr>
                <w:rFonts w:ascii="Georgia" w:eastAsia="Times New Roman" w:hAnsi="Georgia" w:cs="Calibri"/>
                <w:color w:val="000000"/>
                <w:sz w:val="20"/>
                <w:szCs w:val="20"/>
              </w:rPr>
            </w:pPr>
            <w:r>
              <w:rPr>
                <w:rFonts w:ascii="Georgia" w:eastAsia="Times New Roman" w:hAnsi="Georgia" w:cs="Calibri"/>
                <w:color w:val="000000"/>
                <w:sz w:val="20"/>
                <w:szCs w:val="20"/>
              </w:rPr>
              <w:t>3</w:t>
            </w:r>
            <w:r w:rsidR="008F7E09" w:rsidRPr="00C014A1">
              <w:rPr>
                <w:rFonts w:ascii="Georgia" w:eastAsia="Times New Roman" w:hAnsi="Georgia" w:cs="Calibri"/>
                <w:color w:val="000000"/>
                <w:sz w:val="20"/>
                <w:szCs w:val="20"/>
              </w:rPr>
              <w:t>- Validación con declaraciones juradas presentadas</w:t>
            </w:r>
          </w:p>
        </w:tc>
      </w:tr>
      <w:tr w:rsidR="008F7E09" w:rsidRPr="00C014A1" w:rsidTr="008F7E09">
        <w:trPr>
          <w:trHeight w:val="270"/>
        </w:trPr>
        <w:tc>
          <w:tcPr>
            <w:tcW w:w="2485"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GASTOS -Amortizaciones</w:t>
            </w:r>
          </w:p>
        </w:tc>
        <w:tc>
          <w:tcPr>
            <w:tcW w:w="5644"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1- Pruebas globales de razonabilidad</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jc w:val="both"/>
              <w:rPr>
                <w:rFonts w:ascii="Georgia" w:eastAsia="Times New Roman" w:hAnsi="Georgia" w:cs="Calibri"/>
                <w:color w:val="000000"/>
                <w:sz w:val="20"/>
                <w:szCs w:val="20"/>
              </w:rPr>
            </w:pPr>
            <w:r w:rsidRPr="00C014A1">
              <w:rPr>
                <w:rFonts w:ascii="Georgia" w:eastAsia="Times New Roman" w:hAnsi="Georgia" w:cs="Calibri"/>
                <w:color w:val="000000"/>
                <w:sz w:val="20"/>
                <w:szCs w:val="20"/>
              </w:rPr>
              <w:t> </w:t>
            </w:r>
          </w:p>
        </w:tc>
      </w:tr>
      <w:tr w:rsidR="008F7E09" w:rsidRPr="00C014A1" w:rsidTr="008F7E09">
        <w:trPr>
          <w:trHeight w:val="270"/>
        </w:trPr>
        <w:tc>
          <w:tcPr>
            <w:tcW w:w="2485"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GASTOS -Prestaciones de la Seguridad Social</w:t>
            </w:r>
          </w:p>
        </w:tc>
        <w:tc>
          <w:tcPr>
            <w:tcW w:w="5644"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1- Pruebas globales de razonabilidad</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sz w:val="20"/>
                <w:szCs w:val="20"/>
              </w:rPr>
            </w:pPr>
            <w:r w:rsidRPr="00C014A1">
              <w:rPr>
                <w:rFonts w:ascii="Georgia" w:eastAsia="Times New Roman" w:hAnsi="Georgia" w:cs="Calibri"/>
                <w:sz w:val="20"/>
                <w:szCs w:val="20"/>
              </w:rPr>
              <w:t>2- Análisis por muestreo de liquidaciones</w:t>
            </w:r>
          </w:p>
        </w:tc>
      </w:tr>
      <w:tr w:rsidR="008F7E09" w:rsidRPr="00C014A1" w:rsidTr="008F7E09">
        <w:trPr>
          <w:trHeight w:val="270"/>
        </w:trPr>
        <w:tc>
          <w:tcPr>
            <w:tcW w:w="2485" w:type="dxa"/>
            <w:vMerge w:val="restart"/>
            <w:tcBorders>
              <w:top w:val="single" w:sz="4" w:space="0" w:color="auto"/>
              <w:left w:val="single" w:sz="4" w:space="0" w:color="auto"/>
              <w:bottom w:val="nil"/>
              <w:right w:val="single" w:sz="4" w:space="0" w:color="auto"/>
            </w:tcBorders>
            <w:shd w:val="clear" w:color="auto" w:fill="auto"/>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OTRAS PERDIDAS -Sentencia Judiciales</w:t>
            </w:r>
          </w:p>
        </w:tc>
        <w:tc>
          <w:tcPr>
            <w:tcW w:w="5644"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1- Análisis informes judiciales.</w:t>
            </w:r>
          </w:p>
        </w:tc>
      </w:tr>
      <w:tr w:rsidR="008F7E09" w:rsidRPr="00C014A1" w:rsidTr="008F7E09">
        <w:trPr>
          <w:trHeight w:val="270"/>
        </w:trPr>
        <w:tc>
          <w:tcPr>
            <w:tcW w:w="2485" w:type="dxa"/>
            <w:vMerge/>
            <w:tcBorders>
              <w:top w:val="single" w:sz="4" w:space="0" w:color="auto"/>
              <w:left w:val="single" w:sz="4" w:space="0" w:color="auto"/>
              <w:bottom w:val="nil"/>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sz w:val="20"/>
                <w:szCs w:val="20"/>
              </w:rPr>
            </w:pPr>
            <w:r w:rsidRPr="00C014A1">
              <w:rPr>
                <w:rFonts w:ascii="Georgia" w:eastAsia="Times New Roman" w:hAnsi="Georgia" w:cs="Calibri"/>
                <w:sz w:val="20"/>
                <w:szCs w:val="20"/>
              </w:rPr>
              <w:t>2- Análisis por muestreo de documentación de respaldo.</w:t>
            </w:r>
          </w:p>
        </w:tc>
      </w:tr>
      <w:tr w:rsidR="008F7E09" w:rsidRPr="00C014A1" w:rsidTr="008F7E09">
        <w:trPr>
          <w:trHeight w:val="270"/>
        </w:trPr>
        <w:tc>
          <w:tcPr>
            <w:tcW w:w="2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Varios finalización</w:t>
            </w:r>
          </w:p>
        </w:tc>
        <w:tc>
          <w:tcPr>
            <w:tcW w:w="5644"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Actas posteriores</w:t>
            </w:r>
          </w:p>
        </w:tc>
      </w:tr>
      <w:tr w:rsidR="008F7E09" w:rsidRPr="00C014A1" w:rsidTr="008F7E09">
        <w:trPr>
          <w:trHeight w:val="270"/>
        </w:trPr>
        <w:tc>
          <w:tcPr>
            <w:tcW w:w="2485" w:type="dxa"/>
            <w:vMerge/>
            <w:tcBorders>
              <w:top w:val="single" w:sz="4" w:space="0" w:color="auto"/>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 xml:space="preserve">Papeles de trabajos del ajuste por inflación contable </w:t>
            </w:r>
          </w:p>
        </w:tc>
      </w:tr>
      <w:tr w:rsidR="008F7E09" w:rsidRPr="00C014A1" w:rsidTr="008F7E09">
        <w:trPr>
          <w:trHeight w:val="270"/>
        </w:trPr>
        <w:tc>
          <w:tcPr>
            <w:tcW w:w="2485" w:type="dxa"/>
            <w:vMerge/>
            <w:tcBorders>
              <w:top w:val="single" w:sz="4" w:space="0" w:color="auto"/>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Carta de gerencia firmada</w:t>
            </w:r>
          </w:p>
        </w:tc>
      </w:tr>
      <w:tr w:rsidR="008F7E09" w:rsidRPr="00C014A1" w:rsidTr="008F7E09">
        <w:trPr>
          <w:trHeight w:val="270"/>
        </w:trPr>
        <w:tc>
          <w:tcPr>
            <w:tcW w:w="2485" w:type="dxa"/>
            <w:vMerge/>
            <w:tcBorders>
              <w:top w:val="single" w:sz="4" w:space="0" w:color="auto"/>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644" w:type="dxa"/>
            <w:tcBorders>
              <w:top w:val="nil"/>
              <w:left w:val="nil"/>
              <w:bottom w:val="single" w:sz="4" w:space="0" w:color="auto"/>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Sumas y saldos cercano a la fecha de emisión de los EECC</w:t>
            </w:r>
          </w:p>
        </w:tc>
      </w:tr>
    </w:tbl>
    <w:p w:rsidR="00C32823" w:rsidRDefault="00C32823" w:rsidP="003023D2">
      <w:pPr>
        <w:spacing w:line="360" w:lineRule="auto"/>
        <w:jc w:val="both"/>
        <w:rPr>
          <w:rFonts w:ascii="Faustina" w:eastAsia="Arial" w:hAnsi="Faustina" w:cs="Arial"/>
          <w:sz w:val="22"/>
          <w:szCs w:val="22"/>
        </w:rPr>
      </w:pPr>
    </w:p>
    <w:tbl>
      <w:tblPr>
        <w:tblW w:w="8162" w:type="dxa"/>
        <w:tblInd w:w="55" w:type="dxa"/>
        <w:tblCellMar>
          <w:left w:w="70" w:type="dxa"/>
          <w:right w:w="70" w:type="dxa"/>
        </w:tblCellMar>
        <w:tblLook w:val="04A0" w:firstRow="1" w:lastRow="0" w:firstColumn="1" w:lastColumn="0" w:noHBand="0" w:noVBand="1"/>
      </w:tblPr>
      <w:tblGrid>
        <w:gridCol w:w="2659"/>
        <w:gridCol w:w="5503"/>
      </w:tblGrid>
      <w:tr w:rsidR="008F7E09" w:rsidRPr="00C014A1" w:rsidTr="00F568B7">
        <w:trPr>
          <w:trHeight w:val="294"/>
        </w:trPr>
        <w:tc>
          <w:tcPr>
            <w:tcW w:w="2659"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8F7E09" w:rsidRPr="00C014A1" w:rsidRDefault="008F7E09" w:rsidP="00693A94">
            <w:pPr>
              <w:jc w:val="center"/>
              <w:rPr>
                <w:rFonts w:ascii="Georgia" w:eastAsia="Times New Roman" w:hAnsi="Georgia" w:cs="Calibri"/>
                <w:b/>
                <w:bCs/>
                <w:i/>
                <w:iCs/>
                <w:color w:val="000000"/>
              </w:rPr>
            </w:pPr>
            <w:r w:rsidRPr="00C014A1">
              <w:rPr>
                <w:rFonts w:ascii="Georgia" w:eastAsia="Times New Roman" w:hAnsi="Georgia" w:cs="Calibri"/>
                <w:b/>
                <w:bCs/>
                <w:i/>
                <w:iCs/>
                <w:color w:val="000000"/>
              </w:rPr>
              <w:t>Rubro</w:t>
            </w:r>
          </w:p>
        </w:tc>
        <w:tc>
          <w:tcPr>
            <w:tcW w:w="5503" w:type="dxa"/>
            <w:tcBorders>
              <w:top w:val="single" w:sz="4" w:space="0" w:color="auto"/>
              <w:left w:val="nil"/>
              <w:bottom w:val="single" w:sz="4" w:space="0" w:color="auto"/>
              <w:right w:val="single" w:sz="4" w:space="0" w:color="auto"/>
            </w:tcBorders>
            <w:shd w:val="clear" w:color="000000" w:fill="B7DEE8"/>
            <w:vAlign w:val="center"/>
            <w:hideMark/>
          </w:tcPr>
          <w:p w:rsidR="008F7E09" w:rsidRPr="00C014A1" w:rsidRDefault="008F7E09" w:rsidP="00693A94">
            <w:pPr>
              <w:jc w:val="center"/>
              <w:rPr>
                <w:rFonts w:ascii="Georgia" w:eastAsia="Times New Roman" w:hAnsi="Georgia" w:cs="Calibri"/>
                <w:b/>
                <w:bCs/>
                <w:i/>
                <w:iCs/>
                <w:color w:val="000000"/>
              </w:rPr>
            </w:pPr>
            <w:r w:rsidRPr="00C014A1">
              <w:rPr>
                <w:rFonts w:ascii="Georgia" w:eastAsia="Times New Roman" w:hAnsi="Georgia" w:cs="Calibri"/>
                <w:b/>
                <w:bCs/>
                <w:i/>
                <w:iCs/>
                <w:color w:val="000000"/>
              </w:rPr>
              <w:t>Detalle</w:t>
            </w:r>
          </w:p>
        </w:tc>
      </w:tr>
      <w:tr w:rsidR="008F7E09" w:rsidRPr="00C014A1" w:rsidTr="00F568B7">
        <w:trPr>
          <w:trHeight w:val="294"/>
        </w:trPr>
        <w:tc>
          <w:tcPr>
            <w:tcW w:w="2659" w:type="dxa"/>
            <w:vMerge w:val="restart"/>
            <w:tcBorders>
              <w:top w:val="nil"/>
              <w:left w:val="single" w:sz="4" w:space="0" w:color="auto"/>
              <w:bottom w:val="single" w:sz="4" w:space="0" w:color="000000"/>
              <w:right w:val="single" w:sz="4" w:space="0" w:color="auto"/>
            </w:tcBorders>
            <w:shd w:val="clear" w:color="auto" w:fill="auto"/>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GENERALES</w:t>
            </w:r>
          </w:p>
        </w:tc>
        <w:tc>
          <w:tcPr>
            <w:tcW w:w="5503"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sz w:val="20"/>
                <w:szCs w:val="20"/>
              </w:rPr>
            </w:pPr>
            <w:r w:rsidRPr="00C014A1">
              <w:rPr>
                <w:rFonts w:ascii="Georgia" w:eastAsia="Times New Roman" w:hAnsi="Georgia" w:cs="Calibri"/>
                <w:sz w:val="20"/>
                <w:szCs w:val="20"/>
              </w:rPr>
              <w:t>1- Revisión analítica - análisis horizontal y vertical.</w:t>
            </w:r>
          </w:p>
        </w:tc>
      </w:tr>
      <w:tr w:rsidR="008F7E09" w:rsidRPr="00C014A1" w:rsidTr="00F568B7">
        <w:trPr>
          <w:trHeight w:val="294"/>
        </w:trPr>
        <w:tc>
          <w:tcPr>
            <w:tcW w:w="2659" w:type="dxa"/>
            <w:vMerge/>
            <w:tcBorders>
              <w:top w:val="nil"/>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503" w:type="dxa"/>
            <w:tcBorders>
              <w:top w:val="nil"/>
              <w:left w:val="nil"/>
              <w:bottom w:val="nil"/>
              <w:right w:val="single" w:sz="4" w:space="0" w:color="auto"/>
            </w:tcBorders>
            <w:shd w:val="clear" w:color="auto" w:fill="auto"/>
            <w:vAlign w:val="center"/>
            <w:hideMark/>
          </w:tcPr>
          <w:p w:rsidR="008F7E09" w:rsidRPr="00C014A1" w:rsidRDefault="008201AE" w:rsidP="00693A94">
            <w:pPr>
              <w:rPr>
                <w:rFonts w:ascii="Georgia" w:eastAsia="Times New Roman" w:hAnsi="Georgia" w:cs="Calibri"/>
                <w:sz w:val="20"/>
                <w:szCs w:val="20"/>
              </w:rPr>
            </w:pPr>
            <w:r>
              <w:rPr>
                <w:rFonts w:ascii="Georgia" w:eastAsia="Times New Roman" w:hAnsi="Georgia" w:cs="Calibri"/>
                <w:sz w:val="20"/>
                <w:szCs w:val="20"/>
              </w:rPr>
              <w:t>2-</w:t>
            </w:r>
            <w:r w:rsidR="008F7E09" w:rsidRPr="00C014A1">
              <w:rPr>
                <w:rFonts w:ascii="Georgia" w:eastAsia="Times New Roman" w:hAnsi="Georgia" w:cs="Calibri"/>
                <w:sz w:val="20"/>
                <w:szCs w:val="20"/>
              </w:rPr>
              <w:t xml:space="preserve"> Análisis de variaciones anuales.</w:t>
            </w:r>
          </w:p>
        </w:tc>
      </w:tr>
      <w:tr w:rsidR="008F7E09" w:rsidRPr="00C014A1" w:rsidTr="00F568B7">
        <w:trPr>
          <w:trHeight w:val="294"/>
        </w:trPr>
        <w:tc>
          <w:tcPr>
            <w:tcW w:w="2659" w:type="dxa"/>
            <w:vMerge/>
            <w:tcBorders>
              <w:top w:val="nil"/>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503" w:type="dxa"/>
            <w:tcBorders>
              <w:top w:val="nil"/>
              <w:left w:val="nil"/>
              <w:bottom w:val="nil"/>
              <w:right w:val="single" w:sz="4" w:space="0" w:color="auto"/>
            </w:tcBorders>
            <w:shd w:val="clear" w:color="auto" w:fill="auto"/>
            <w:vAlign w:val="center"/>
            <w:hideMark/>
          </w:tcPr>
          <w:p w:rsidR="008F7E09" w:rsidRPr="00C014A1" w:rsidRDefault="008F7E09" w:rsidP="008201AE">
            <w:pPr>
              <w:rPr>
                <w:rFonts w:ascii="Georgia" w:eastAsia="Times New Roman" w:hAnsi="Georgia" w:cs="Calibri"/>
                <w:sz w:val="20"/>
                <w:szCs w:val="20"/>
              </w:rPr>
            </w:pPr>
            <w:r w:rsidRPr="00C014A1">
              <w:rPr>
                <w:rFonts w:ascii="Georgia" w:eastAsia="Times New Roman" w:hAnsi="Georgia" w:cs="Calibri"/>
                <w:sz w:val="20"/>
                <w:szCs w:val="20"/>
              </w:rPr>
              <w:t>3- Análisis de variaciones porcentuales.</w:t>
            </w:r>
          </w:p>
        </w:tc>
      </w:tr>
      <w:tr w:rsidR="008F7E09" w:rsidRPr="00C014A1" w:rsidTr="00F568B7">
        <w:trPr>
          <w:trHeight w:val="294"/>
        </w:trPr>
        <w:tc>
          <w:tcPr>
            <w:tcW w:w="2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09" w:rsidRPr="00C014A1" w:rsidRDefault="008F7E09" w:rsidP="00693A94">
            <w:pPr>
              <w:jc w:val="center"/>
              <w:rPr>
                <w:rFonts w:ascii="Georgia" w:eastAsia="Times New Roman" w:hAnsi="Georgia" w:cs="Calibri"/>
                <w:b/>
                <w:bCs/>
                <w:color w:val="000000"/>
                <w:sz w:val="20"/>
                <w:szCs w:val="20"/>
              </w:rPr>
            </w:pPr>
            <w:r w:rsidRPr="00C014A1">
              <w:rPr>
                <w:rFonts w:ascii="Georgia" w:eastAsia="Times New Roman" w:hAnsi="Georgia" w:cs="Calibri"/>
                <w:b/>
                <w:bCs/>
                <w:color w:val="000000"/>
                <w:sz w:val="20"/>
                <w:szCs w:val="20"/>
              </w:rPr>
              <w:t>Varios finalización</w:t>
            </w:r>
          </w:p>
        </w:tc>
        <w:tc>
          <w:tcPr>
            <w:tcW w:w="5503" w:type="dxa"/>
            <w:tcBorders>
              <w:top w:val="single" w:sz="4" w:space="0" w:color="auto"/>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Actas posteriores</w:t>
            </w:r>
          </w:p>
        </w:tc>
      </w:tr>
      <w:tr w:rsidR="008F7E09" w:rsidRPr="00C014A1" w:rsidTr="00F568B7">
        <w:trPr>
          <w:trHeight w:val="294"/>
        </w:trPr>
        <w:tc>
          <w:tcPr>
            <w:tcW w:w="2659" w:type="dxa"/>
            <w:vMerge/>
            <w:tcBorders>
              <w:top w:val="nil"/>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503"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 xml:space="preserve">Papeles de trabajos del ajuste por inflación contable </w:t>
            </w:r>
          </w:p>
        </w:tc>
      </w:tr>
      <w:tr w:rsidR="008F7E09" w:rsidRPr="00C014A1" w:rsidTr="00F568B7">
        <w:trPr>
          <w:trHeight w:val="294"/>
        </w:trPr>
        <w:tc>
          <w:tcPr>
            <w:tcW w:w="2659" w:type="dxa"/>
            <w:vMerge/>
            <w:tcBorders>
              <w:top w:val="nil"/>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503" w:type="dxa"/>
            <w:tcBorders>
              <w:top w:val="nil"/>
              <w:left w:val="nil"/>
              <w:bottom w:val="nil"/>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Carta de gerencia firmada</w:t>
            </w:r>
          </w:p>
        </w:tc>
      </w:tr>
      <w:tr w:rsidR="008F7E09" w:rsidRPr="00C014A1" w:rsidTr="00F568B7">
        <w:trPr>
          <w:trHeight w:val="294"/>
        </w:trPr>
        <w:tc>
          <w:tcPr>
            <w:tcW w:w="2659" w:type="dxa"/>
            <w:vMerge/>
            <w:tcBorders>
              <w:top w:val="nil"/>
              <w:left w:val="single" w:sz="4" w:space="0" w:color="auto"/>
              <w:bottom w:val="single" w:sz="4" w:space="0" w:color="000000"/>
              <w:right w:val="single" w:sz="4" w:space="0" w:color="auto"/>
            </w:tcBorders>
            <w:vAlign w:val="center"/>
            <w:hideMark/>
          </w:tcPr>
          <w:p w:rsidR="008F7E09" w:rsidRPr="00C014A1" w:rsidRDefault="008F7E09" w:rsidP="00693A94">
            <w:pPr>
              <w:rPr>
                <w:rFonts w:ascii="Georgia" w:eastAsia="Times New Roman" w:hAnsi="Georgia" w:cs="Calibri"/>
                <w:b/>
                <w:bCs/>
                <w:color w:val="000000"/>
                <w:sz w:val="20"/>
                <w:szCs w:val="20"/>
              </w:rPr>
            </w:pPr>
          </w:p>
        </w:tc>
        <w:tc>
          <w:tcPr>
            <w:tcW w:w="5503" w:type="dxa"/>
            <w:tcBorders>
              <w:top w:val="nil"/>
              <w:left w:val="nil"/>
              <w:bottom w:val="single" w:sz="4" w:space="0" w:color="auto"/>
              <w:right w:val="single" w:sz="4" w:space="0" w:color="auto"/>
            </w:tcBorders>
            <w:shd w:val="clear" w:color="auto" w:fill="auto"/>
            <w:vAlign w:val="center"/>
            <w:hideMark/>
          </w:tcPr>
          <w:p w:rsidR="008F7E09" w:rsidRPr="00C014A1" w:rsidRDefault="008F7E09" w:rsidP="00693A94">
            <w:pPr>
              <w:rPr>
                <w:rFonts w:ascii="Georgia" w:eastAsia="Times New Roman" w:hAnsi="Georgia" w:cs="Calibri"/>
                <w:color w:val="000000"/>
                <w:sz w:val="20"/>
                <w:szCs w:val="20"/>
              </w:rPr>
            </w:pPr>
            <w:r w:rsidRPr="00C014A1">
              <w:rPr>
                <w:rFonts w:ascii="Georgia" w:eastAsia="Times New Roman" w:hAnsi="Georgia" w:cs="Calibri"/>
                <w:color w:val="000000"/>
                <w:sz w:val="20"/>
                <w:szCs w:val="20"/>
              </w:rPr>
              <w:t>Sumas y saldos cercano a la fecha de emisión de los EECC</w:t>
            </w:r>
          </w:p>
        </w:tc>
      </w:tr>
    </w:tbl>
    <w:p w:rsidR="00C32823" w:rsidRDefault="00C32823" w:rsidP="003023D2">
      <w:pPr>
        <w:spacing w:line="360" w:lineRule="auto"/>
        <w:jc w:val="both"/>
        <w:rPr>
          <w:rFonts w:ascii="Faustina" w:eastAsia="Arial" w:hAnsi="Faustina" w:cs="Arial"/>
          <w:sz w:val="22"/>
          <w:szCs w:val="22"/>
        </w:rPr>
      </w:pPr>
    </w:p>
    <w:p w:rsidR="003023D2" w:rsidRDefault="003023D2" w:rsidP="003023D2">
      <w:pPr>
        <w:spacing w:line="360" w:lineRule="auto"/>
        <w:jc w:val="both"/>
        <w:rPr>
          <w:rFonts w:ascii="Faustina" w:eastAsia="Arial" w:hAnsi="Faustina" w:cs="Arial"/>
          <w:sz w:val="22"/>
          <w:szCs w:val="22"/>
          <w:u w:val="single"/>
        </w:rPr>
      </w:pPr>
      <w:r w:rsidRPr="003023D2">
        <w:rPr>
          <w:rFonts w:ascii="Faustina" w:eastAsia="Arial" w:hAnsi="Faustina" w:cs="Arial"/>
          <w:sz w:val="22"/>
          <w:szCs w:val="22"/>
          <w:u w:val="single"/>
        </w:rPr>
        <w:t>ENTRGABLES</w:t>
      </w:r>
    </w:p>
    <w:p w:rsidR="00F568B7" w:rsidRPr="003023D2" w:rsidRDefault="00F568B7" w:rsidP="003023D2">
      <w:pPr>
        <w:spacing w:line="360" w:lineRule="auto"/>
        <w:jc w:val="both"/>
        <w:rPr>
          <w:rFonts w:ascii="Faustina" w:eastAsia="Arial" w:hAnsi="Faustina" w:cs="Arial"/>
          <w:sz w:val="22"/>
          <w:szCs w:val="22"/>
          <w:u w:val="single"/>
        </w:rPr>
      </w:pPr>
    </w:p>
    <w:p w:rsidR="003023D2" w:rsidRPr="003023D2" w:rsidRDefault="003023D2" w:rsidP="003023D2">
      <w:pPr>
        <w:spacing w:line="360" w:lineRule="auto"/>
        <w:jc w:val="both"/>
        <w:rPr>
          <w:rFonts w:ascii="Faustina" w:eastAsia="Arial" w:hAnsi="Faustina" w:cs="Arial"/>
          <w:sz w:val="22"/>
          <w:szCs w:val="22"/>
        </w:rPr>
      </w:pPr>
      <w:r w:rsidRPr="003023D2">
        <w:rPr>
          <w:rFonts w:ascii="Faustina" w:eastAsia="Arial" w:hAnsi="Faustina" w:cs="Arial"/>
          <w:sz w:val="22"/>
          <w:szCs w:val="22"/>
        </w:rPr>
        <w:t>Como resultado de nuestro trabajo suministraremos al Representante legal del Instituto los siguientes informes:</w:t>
      </w:r>
    </w:p>
    <w:p w:rsidR="003023D2" w:rsidRPr="003023D2" w:rsidRDefault="003023D2" w:rsidP="008201AE">
      <w:pPr>
        <w:spacing w:line="360" w:lineRule="auto"/>
        <w:ind w:left="284" w:hanging="284"/>
        <w:jc w:val="both"/>
        <w:rPr>
          <w:rFonts w:ascii="Faustina" w:eastAsia="Arial" w:hAnsi="Faustina" w:cs="Arial"/>
          <w:sz w:val="22"/>
          <w:szCs w:val="22"/>
        </w:rPr>
      </w:pPr>
      <w:r w:rsidRPr="003023D2">
        <w:rPr>
          <w:rFonts w:ascii="Faustina" w:eastAsia="Arial" w:hAnsi="Faustina" w:cs="Arial"/>
          <w:sz w:val="22"/>
          <w:szCs w:val="22"/>
        </w:rPr>
        <w:t>1.</w:t>
      </w:r>
      <w:r w:rsidRPr="003023D2">
        <w:rPr>
          <w:rFonts w:ascii="Faustina" w:eastAsia="Arial" w:hAnsi="Faustina" w:cs="Arial"/>
          <w:sz w:val="22"/>
          <w:szCs w:val="22"/>
        </w:rPr>
        <w:tab/>
        <w:t>Informe de auditoría por cada uno de los cierres contables.</w:t>
      </w:r>
    </w:p>
    <w:p w:rsidR="003023D2" w:rsidRPr="003023D2" w:rsidRDefault="003023D2" w:rsidP="008201AE">
      <w:pPr>
        <w:spacing w:line="360" w:lineRule="auto"/>
        <w:ind w:left="284" w:hanging="284"/>
        <w:jc w:val="both"/>
        <w:rPr>
          <w:rFonts w:ascii="Faustina" w:eastAsia="Arial" w:hAnsi="Faustina" w:cs="Arial"/>
          <w:sz w:val="22"/>
          <w:szCs w:val="22"/>
        </w:rPr>
      </w:pPr>
      <w:r w:rsidRPr="003023D2">
        <w:rPr>
          <w:rFonts w:ascii="Faustina" w:eastAsia="Arial" w:hAnsi="Faustina" w:cs="Arial"/>
          <w:sz w:val="22"/>
          <w:szCs w:val="22"/>
        </w:rPr>
        <w:t>2.</w:t>
      </w:r>
      <w:r w:rsidRPr="003023D2">
        <w:rPr>
          <w:rFonts w:ascii="Faustina" w:eastAsia="Arial" w:hAnsi="Faustina" w:cs="Arial"/>
          <w:sz w:val="22"/>
          <w:szCs w:val="22"/>
        </w:rPr>
        <w:tab/>
        <w:t>Resumen de los principales hallazgos obtenidos en el marco de nuestra tarea profesional (de existir), conjuntamente con las correspondientes recomendaciones.</w:t>
      </w:r>
    </w:p>
    <w:p w:rsidR="00FD3DF6" w:rsidRDefault="00FD3DF6" w:rsidP="003023D2">
      <w:pPr>
        <w:spacing w:line="360" w:lineRule="auto"/>
        <w:jc w:val="both"/>
        <w:rPr>
          <w:rFonts w:ascii="Faustina" w:eastAsia="Arial" w:hAnsi="Faustina" w:cs="Arial"/>
          <w:sz w:val="22"/>
          <w:szCs w:val="22"/>
        </w:rPr>
      </w:pPr>
    </w:p>
    <w:p w:rsidR="009268FC" w:rsidRDefault="009268FC" w:rsidP="003023D2">
      <w:pPr>
        <w:spacing w:line="360" w:lineRule="auto"/>
        <w:jc w:val="both"/>
        <w:rPr>
          <w:rFonts w:ascii="Faustina" w:eastAsia="Arial" w:hAnsi="Faustina" w:cs="Arial"/>
          <w:sz w:val="22"/>
          <w:szCs w:val="22"/>
        </w:rPr>
      </w:pPr>
    </w:p>
    <w:p w:rsidR="009268FC" w:rsidRDefault="009268FC" w:rsidP="003023D2">
      <w:pPr>
        <w:spacing w:line="360" w:lineRule="auto"/>
        <w:jc w:val="both"/>
        <w:rPr>
          <w:rFonts w:ascii="Faustina" w:eastAsia="Arial" w:hAnsi="Faustina" w:cs="Arial"/>
          <w:sz w:val="22"/>
          <w:szCs w:val="22"/>
        </w:rPr>
      </w:pPr>
    </w:p>
    <w:p w:rsidR="009268FC" w:rsidRDefault="009268FC" w:rsidP="003023D2">
      <w:pPr>
        <w:spacing w:line="360" w:lineRule="auto"/>
        <w:jc w:val="both"/>
        <w:rPr>
          <w:rFonts w:ascii="Faustina" w:eastAsia="Arial" w:hAnsi="Faustina" w:cs="Arial"/>
          <w:sz w:val="22"/>
          <w:szCs w:val="22"/>
        </w:rPr>
      </w:pPr>
    </w:p>
    <w:p w:rsidR="009268FC" w:rsidRDefault="009268FC" w:rsidP="003023D2">
      <w:pPr>
        <w:spacing w:line="360" w:lineRule="auto"/>
        <w:jc w:val="both"/>
        <w:rPr>
          <w:rFonts w:ascii="Faustina" w:eastAsia="Arial" w:hAnsi="Faustina" w:cs="Arial"/>
          <w:sz w:val="22"/>
          <w:szCs w:val="22"/>
        </w:rPr>
      </w:pPr>
    </w:p>
    <w:p w:rsidR="003023D2" w:rsidRDefault="003023D2" w:rsidP="003023D2">
      <w:pPr>
        <w:spacing w:line="360" w:lineRule="auto"/>
        <w:jc w:val="both"/>
        <w:rPr>
          <w:rFonts w:ascii="Faustina" w:eastAsia="Arial" w:hAnsi="Faustina" w:cs="Arial"/>
          <w:sz w:val="22"/>
          <w:szCs w:val="22"/>
        </w:rPr>
      </w:pPr>
      <w:r w:rsidRPr="003023D2">
        <w:rPr>
          <w:rFonts w:ascii="Faustina" w:eastAsia="Arial" w:hAnsi="Faustina" w:cs="Arial"/>
          <w:sz w:val="22"/>
          <w:szCs w:val="22"/>
        </w:rPr>
        <w:lastRenderedPageBreak/>
        <w:t>CRONOGRAMA DE TRABAJO</w:t>
      </w:r>
    </w:p>
    <w:p w:rsidR="00F568B7" w:rsidRPr="003023D2" w:rsidRDefault="00F568B7" w:rsidP="003023D2">
      <w:pPr>
        <w:spacing w:line="360" w:lineRule="auto"/>
        <w:jc w:val="both"/>
        <w:rPr>
          <w:rFonts w:ascii="Faustina" w:eastAsia="Arial" w:hAnsi="Faustina" w:cs="Arial"/>
          <w:sz w:val="22"/>
          <w:szCs w:val="22"/>
        </w:rPr>
      </w:pPr>
    </w:p>
    <w:p w:rsidR="003023D2" w:rsidRPr="003023D2" w:rsidRDefault="008201AE" w:rsidP="003023D2">
      <w:pPr>
        <w:spacing w:line="360" w:lineRule="auto"/>
        <w:jc w:val="both"/>
        <w:rPr>
          <w:rFonts w:ascii="Faustina" w:eastAsia="Arial" w:hAnsi="Faustina" w:cs="Arial"/>
          <w:sz w:val="22"/>
          <w:szCs w:val="22"/>
        </w:rPr>
      </w:pPr>
      <w:r>
        <w:rPr>
          <w:rFonts w:ascii="Faustina" w:eastAsia="Arial" w:hAnsi="Faustina" w:cs="Arial"/>
          <w:sz w:val="22"/>
          <w:szCs w:val="22"/>
        </w:rPr>
        <w:t xml:space="preserve">Se estipula para </w:t>
      </w:r>
      <w:r w:rsidR="003023D2" w:rsidRPr="003023D2">
        <w:rPr>
          <w:rFonts w:ascii="Faustina" w:eastAsia="Arial" w:hAnsi="Faustina" w:cs="Arial"/>
          <w:sz w:val="22"/>
          <w:szCs w:val="22"/>
        </w:rPr>
        <w:t xml:space="preserve">la realización de tareas y/o procedimientos involucrados los siguientes: </w:t>
      </w:r>
    </w:p>
    <w:p w:rsidR="003023D2" w:rsidRPr="003023D2" w:rsidRDefault="003023D2" w:rsidP="008201AE">
      <w:pPr>
        <w:spacing w:line="360" w:lineRule="auto"/>
        <w:ind w:left="284" w:hanging="284"/>
        <w:jc w:val="both"/>
        <w:rPr>
          <w:rFonts w:ascii="Faustina" w:eastAsia="Arial" w:hAnsi="Faustina" w:cs="Arial"/>
          <w:sz w:val="22"/>
          <w:szCs w:val="22"/>
        </w:rPr>
      </w:pPr>
      <w:r w:rsidRPr="003023D2">
        <w:rPr>
          <w:rFonts w:ascii="Faustina" w:eastAsia="Arial" w:hAnsi="Faustina" w:cs="Arial"/>
          <w:sz w:val="22"/>
          <w:szCs w:val="22"/>
        </w:rPr>
        <w:t>•</w:t>
      </w:r>
      <w:r w:rsidRPr="003023D2">
        <w:rPr>
          <w:rFonts w:ascii="Faustina" w:eastAsia="Arial" w:hAnsi="Faustina" w:cs="Arial"/>
          <w:sz w:val="22"/>
          <w:szCs w:val="22"/>
        </w:rPr>
        <w:tab/>
        <w:t xml:space="preserve">Un plazo de </w:t>
      </w:r>
      <w:r w:rsidR="008201AE">
        <w:rPr>
          <w:rFonts w:ascii="Faustina" w:eastAsia="Arial" w:hAnsi="Faustina" w:cs="Arial"/>
          <w:sz w:val="22"/>
          <w:szCs w:val="22"/>
        </w:rPr>
        <w:t>CINCO</w:t>
      </w:r>
      <w:r w:rsidRPr="003023D2">
        <w:rPr>
          <w:rFonts w:ascii="Faustina" w:eastAsia="Arial" w:hAnsi="Faustina" w:cs="Arial"/>
          <w:sz w:val="22"/>
          <w:szCs w:val="22"/>
        </w:rPr>
        <w:t xml:space="preserve"> </w:t>
      </w:r>
      <w:r w:rsidR="008201AE">
        <w:rPr>
          <w:rFonts w:ascii="Faustina" w:eastAsia="Arial" w:hAnsi="Faustina" w:cs="Arial"/>
          <w:sz w:val="22"/>
          <w:szCs w:val="22"/>
        </w:rPr>
        <w:t>(</w:t>
      </w:r>
      <w:r w:rsidR="00C32823">
        <w:rPr>
          <w:rFonts w:ascii="Faustina" w:eastAsia="Arial" w:hAnsi="Faustina" w:cs="Arial"/>
          <w:sz w:val="22"/>
          <w:szCs w:val="22"/>
        </w:rPr>
        <w:t>5</w:t>
      </w:r>
      <w:r w:rsidR="008201AE">
        <w:rPr>
          <w:rFonts w:ascii="Faustina" w:eastAsia="Arial" w:hAnsi="Faustina" w:cs="Arial"/>
          <w:sz w:val="22"/>
          <w:szCs w:val="22"/>
        </w:rPr>
        <w:t>)</w:t>
      </w:r>
      <w:r w:rsidRPr="003023D2">
        <w:rPr>
          <w:rFonts w:ascii="Faustina" w:eastAsia="Arial" w:hAnsi="Faustina" w:cs="Arial"/>
          <w:sz w:val="22"/>
          <w:szCs w:val="22"/>
        </w:rPr>
        <w:t xml:space="preserve"> meses para los estados contables de los ejercicios 2018 a 2021, El mismo empezara a contar a partir de la puesta a disposición de los Estado</w:t>
      </w:r>
      <w:r w:rsidR="008201AE">
        <w:rPr>
          <w:rFonts w:ascii="Faustina" w:eastAsia="Arial" w:hAnsi="Faustina" w:cs="Arial"/>
          <w:sz w:val="22"/>
          <w:szCs w:val="22"/>
        </w:rPr>
        <w:t xml:space="preserve">s </w:t>
      </w:r>
      <w:r w:rsidRPr="003023D2">
        <w:rPr>
          <w:rFonts w:ascii="Faustina" w:eastAsia="Arial" w:hAnsi="Faustina" w:cs="Arial"/>
          <w:sz w:val="22"/>
          <w:szCs w:val="22"/>
        </w:rPr>
        <w:t xml:space="preserve">Contables y la documentación </w:t>
      </w:r>
      <w:proofErr w:type="spellStart"/>
      <w:r w:rsidRPr="003023D2">
        <w:rPr>
          <w:rFonts w:ascii="Faustina" w:eastAsia="Arial" w:hAnsi="Faustina" w:cs="Arial"/>
          <w:sz w:val="22"/>
          <w:szCs w:val="22"/>
        </w:rPr>
        <w:t>respaldatoria</w:t>
      </w:r>
      <w:proofErr w:type="spellEnd"/>
      <w:r w:rsidRPr="003023D2">
        <w:rPr>
          <w:rFonts w:ascii="Faustina" w:eastAsia="Arial" w:hAnsi="Faustina" w:cs="Arial"/>
          <w:sz w:val="22"/>
          <w:szCs w:val="22"/>
        </w:rPr>
        <w:t>.</w:t>
      </w:r>
    </w:p>
    <w:p w:rsidR="003023D2" w:rsidRPr="003023D2" w:rsidRDefault="003023D2" w:rsidP="008201AE">
      <w:pPr>
        <w:spacing w:line="360" w:lineRule="auto"/>
        <w:ind w:left="284" w:hanging="284"/>
        <w:jc w:val="both"/>
        <w:rPr>
          <w:rFonts w:ascii="Faustina" w:eastAsia="Arial" w:hAnsi="Faustina" w:cs="Arial"/>
          <w:sz w:val="22"/>
          <w:szCs w:val="22"/>
        </w:rPr>
      </w:pPr>
      <w:r w:rsidRPr="003023D2">
        <w:rPr>
          <w:rFonts w:ascii="Faustina" w:eastAsia="Arial" w:hAnsi="Faustina" w:cs="Arial"/>
          <w:sz w:val="22"/>
          <w:szCs w:val="22"/>
        </w:rPr>
        <w:t>•</w:t>
      </w:r>
      <w:r w:rsidRPr="003023D2">
        <w:rPr>
          <w:rFonts w:ascii="Faustina" w:eastAsia="Arial" w:hAnsi="Faustina" w:cs="Arial"/>
          <w:sz w:val="22"/>
          <w:szCs w:val="22"/>
        </w:rPr>
        <w:tab/>
        <w:t xml:space="preserve"> Un plazo de </w:t>
      </w:r>
      <w:r w:rsidR="008201AE">
        <w:rPr>
          <w:rFonts w:ascii="Faustina" w:eastAsia="Arial" w:hAnsi="Faustina" w:cs="Arial"/>
          <w:sz w:val="22"/>
          <w:szCs w:val="22"/>
        </w:rPr>
        <w:t>TRES (</w:t>
      </w:r>
      <w:r w:rsidR="00C32823">
        <w:rPr>
          <w:rFonts w:ascii="Faustina" w:eastAsia="Arial" w:hAnsi="Faustina" w:cs="Arial"/>
          <w:sz w:val="22"/>
          <w:szCs w:val="22"/>
        </w:rPr>
        <w:t>3</w:t>
      </w:r>
      <w:r w:rsidR="008201AE">
        <w:rPr>
          <w:rFonts w:ascii="Faustina" w:eastAsia="Arial" w:hAnsi="Faustina" w:cs="Arial"/>
          <w:sz w:val="22"/>
          <w:szCs w:val="22"/>
        </w:rPr>
        <w:t>)</w:t>
      </w:r>
      <w:r w:rsidR="008F7E09">
        <w:rPr>
          <w:rFonts w:ascii="Faustina" w:eastAsia="Arial" w:hAnsi="Faustina" w:cs="Arial"/>
          <w:sz w:val="22"/>
          <w:szCs w:val="22"/>
        </w:rPr>
        <w:t xml:space="preserve"> </w:t>
      </w:r>
      <w:r w:rsidRPr="003023D2">
        <w:rPr>
          <w:rFonts w:ascii="Faustina" w:eastAsia="Arial" w:hAnsi="Faustina" w:cs="Arial"/>
          <w:sz w:val="22"/>
          <w:szCs w:val="22"/>
        </w:rPr>
        <w:t>meses para cada uno de los ejercicios no finalizados a la fecha (2022 y 2023). El mismo empezara a contar a partir de la pues</w:t>
      </w:r>
      <w:r w:rsidR="008201AE">
        <w:rPr>
          <w:rFonts w:ascii="Faustina" w:eastAsia="Arial" w:hAnsi="Faustina" w:cs="Arial"/>
          <w:sz w:val="22"/>
          <w:szCs w:val="22"/>
        </w:rPr>
        <w:t>ta a disposición de los Estados</w:t>
      </w:r>
      <w:r w:rsidRPr="003023D2">
        <w:rPr>
          <w:rFonts w:ascii="Faustina" w:eastAsia="Arial" w:hAnsi="Faustina" w:cs="Arial"/>
          <w:sz w:val="22"/>
          <w:szCs w:val="22"/>
        </w:rPr>
        <w:t xml:space="preserve"> Contables y la documentación </w:t>
      </w:r>
      <w:proofErr w:type="spellStart"/>
      <w:r w:rsidRPr="003023D2">
        <w:rPr>
          <w:rFonts w:ascii="Faustina" w:eastAsia="Arial" w:hAnsi="Faustina" w:cs="Arial"/>
          <w:sz w:val="22"/>
          <w:szCs w:val="22"/>
        </w:rPr>
        <w:t>respaldatoria</w:t>
      </w:r>
      <w:proofErr w:type="spellEnd"/>
      <w:r w:rsidRPr="003023D2">
        <w:rPr>
          <w:rFonts w:ascii="Faustina" w:eastAsia="Arial" w:hAnsi="Faustina" w:cs="Arial"/>
          <w:sz w:val="22"/>
          <w:szCs w:val="22"/>
        </w:rPr>
        <w:t>.</w:t>
      </w:r>
    </w:p>
    <w:p w:rsidR="003023D2" w:rsidRPr="00927498" w:rsidRDefault="003023D2" w:rsidP="00927498">
      <w:pPr>
        <w:spacing w:line="360" w:lineRule="auto"/>
        <w:rPr>
          <w:rFonts w:ascii="Faustina" w:eastAsia="Arial" w:hAnsi="Faustina" w:cs="Arial"/>
          <w:sz w:val="22"/>
          <w:szCs w:val="22"/>
        </w:rPr>
      </w:pPr>
    </w:p>
    <w:sectPr w:rsidR="003023D2" w:rsidRPr="00927498">
      <w:headerReference w:type="default" r:id="rId7"/>
      <w:footerReference w:type="default" r:id="rId8"/>
      <w:pgSz w:w="11906" w:h="16838"/>
      <w:pgMar w:top="1418" w:right="1134" w:bottom="1134" w:left="1985" w:header="709"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36" w:rsidRDefault="00A77436">
      <w:r>
        <w:separator/>
      </w:r>
    </w:p>
  </w:endnote>
  <w:endnote w:type="continuationSeparator" w:id="0">
    <w:p w:rsidR="00A77436" w:rsidRDefault="00A7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ustina">
    <w:altName w:val="Courier New"/>
    <w:panose1 w:val="00000500000000000000"/>
    <w:charset w:val="00"/>
    <w:family w:val="auto"/>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1F9" w:rsidRDefault="003E0CBC">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535E95">
      <w:rPr>
        <w:noProof/>
        <w:color w:val="000000"/>
        <w:sz w:val="16"/>
        <w:szCs w:val="16"/>
      </w:rPr>
      <w:t>10</w:t>
    </w:r>
    <w:r>
      <w:rPr>
        <w:color w:val="000000"/>
        <w:sz w:val="16"/>
        <w:szCs w:val="16"/>
      </w:rPr>
      <w:fldChar w:fldCharType="end"/>
    </w:r>
  </w:p>
  <w:p w:rsidR="003111F9" w:rsidRDefault="003111F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36" w:rsidRDefault="00A77436">
      <w:r>
        <w:separator/>
      </w:r>
    </w:p>
  </w:footnote>
  <w:footnote w:type="continuationSeparator" w:id="0">
    <w:p w:rsidR="00A77436" w:rsidRDefault="00A77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2F" w:rsidRDefault="00F45F2F">
    <w:pPr>
      <w:pStyle w:val="Encabezado"/>
    </w:pPr>
    <w:r>
      <w:rPr>
        <w:noProof/>
        <w:lang w:val="es-AR"/>
      </w:rPr>
      <w:drawing>
        <wp:inline distT="0" distB="0" distL="0" distR="0" wp14:anchorId="470B3078" wp14:editId="134F40DD">
          <wp:extent cx="1566545" cy="47561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475615"/>
                  </a:xfrm>
                  <a:prstGeom prst="rect">
                    <a:avLst/>
                  </a:prstGeom>
                  <a:noFill/>
                </pic:spPr>
              </pic:pic>
            </a:graphicData>
          </a:graphic>
        </wp:inline>
      </w:drawing>
    </w:r>
    <w:r w:rsidR="00341E98" w:rsidRPr="00341E9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201AE">
      <w:rPr>
        <w:noProof/>
        <w:lang w:val="es-AR"/>
      </w:rPr>
      <w:tab/>
    </w:r>
    <w:r w:rsidR="008201AE">
      <w:rPr>
        <w:noProof/>
        <w:lang w:val="es-AR"/>
      </w:rPr>
      <w:tab/>
    </w:r>
    <w:r w:rsidR="00341E98" w:rsidRPr="00341E98">
      <w:rPr>
        <w:noProof/>
        <w:lang w:val="es-AR"/>
      </w:rPr>
      <w:drawing>
        <wp:inline distT="0" distB="0" distL="0" distR="0">
          <wp:extent cx="2368141" cy="514910"/>
          <wp:effectExtent l="0" t="0" r="0" b="0"/>
          <wp:docPr id="1" name="Imagen 1" descr="C:\Users\sparedes\AppData\Local\Temp\notes02F6F8\~4122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edes\AppData\Local\Temp\notes02F6F8\~41227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7581" cy="536532"/>
                  </a:xfrm>
                  <a:prstGeom prst="rect">
                    <a:avLst/>
                  </a:prstGeom>
                  <a:noFill/>
                  <a:ln>
                    <a:noFill/>
                  </a:ln>
                </pic:spPr>
              </pic:pic>
            </a:graphicData>
          </a:graphic>
        </wp:inline>
      </w:drawing>
    </w:r>
  </w:p>
  <w:p w:rsidR="003111F9" w:rsidRDefault="003111F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E2DC0"/>
    <w:multiLevelType w:val="hybridMultilevel"/>
    <w:tmpl w:val="9A2AE3A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7160BA0"/>
    <w:multiLevelType w:val="hybridMultilevel"/>
    <w:tmpl w:val="12E2E01C"/>
    <w:lvl w:ilvl="0" w:tplc="3C0ABF08">
      <w:numFmt w:val="bullet"/>
      <w:lvlText w:val="•"/>
      <w:lvlJc w:val="left"/>
      <w:pPr>
        <w:ind w:left="1080" w:hanging="720"/>
      </w:pPr>
      <w:rPr>
        <w:rFonts w:ascii="Faustina" w:eastAsia="Arial" w:hAnsi="Faustina"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AA654B"/>
    <w:multiLevelType w:val="hybridMultilevel"/>
    <w:tmpl w:val="57326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5B20822"/>
    <w:multiLevelType w:val="hybridMultilevel"/>
    <w:tmpl w:val="75A00152"/>
    <w:lvl w:ilvl="0" w:tplc="194CF79A">
      <w:numFmt w:val="bullet"/>
      <w:lvlText w:val="•"/>
      <w:lvlJc w:val="left"/>
      <w:pPr>
        <w:ind w:left="1125" w:hanging="765"/>
      </w:pPr>
      <w:rPr>
        <w:rFonts w:ascii="Faustina" w:eastAsia="Arial" w:hAnsi="Faustina"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2316018"/>
    <w:multiLevelType w:val="hybridMultilevel"/>
    <w:tmpl w:val="9430643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60D68F9"/>
    <w:multiLevelType w:val="hybridMultilevel"/>
    <w:tmpl w:val="B734C83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FC95E72"/>
    <w:multiLevelType w:val="hybridMultilevel"/>
    <w:tmpl w:val="2898BFC0"/>
    <w:lvl w:ilvl="0" w:tplc="DABACB9E">
      <w:numFmt w:val="bullet"/>
      <w:lvlText w:val="•"/>
      <w:lvlJc w:val="left"/>
      <w:pPr>
        <w:ind w:left="1080" w:hanging="720"/>
      </w:pPr>
      <w:rPr>
        <w:rFonts w:ascii="Faustina" w:eastAsia="Arial" w:hAnsi="Faustina"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58374DD"/>
    <w:multiLevelType w:val="hybridMultilevel"/>
    <w:tmpl w:val="0DD641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9BF6252"/>
    <w:multiLevelType w:val="hybridMultilevel"/>
    <w:tmpl w:val="EC2C1CBC"/>
    <w:lvl w:ilvl="0" w:tplc="154C55EE">
      <w:numFmt w:val="bullet"/>
      <w:lvlText w:val=""/>
      <w:lvlJc w:val="left"/>
      <w:pPr>
        <w:ind w:left="1080" w:hanging="72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5"/>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F9"/>
    <w:rsid w:val="000046C1"/>
    <w:rsid w:val="000D55FF"/>
    <w:rsid w:val="000F3707"/>
    <w:rsid w:val="0021165E"/>
    <w:rsid w:val="002148C7"/>
    <w:rsid w:val="00270C8F"/>
    <w:rsid w:val="003023D2"/>
    <w:rsid w:val="003111F9"/>
    <w:rsid w:val="00341E98"/>
    <w:rsid w:val="003E0CBC"/>
    <w:rsid w:val="004015A5"/>
    <w:rsid w:val="00441E9B"/>
    <w:rsid w:val="00496D1F"/>
    <w:rsid w:val="0050277C"/>
    <w:rsid w:val="00535E95"/>
    <w:rsid w:val="00555A5A"/>
    <w:rsid w:val="00563170"/>
    <w:rsid w:val="00636076"/>
    <w:rsid w:val="00714BC9"/>
    <w:rsid w:val="007331A7"/>
    <w:rsid w:val="007553A4"/>
    <w:rsid w:val="00776C2D"/>
    <w:rsid w:val="008201AE"/>
    <w:rsid w:val="00855CCF"/>
    <w:rsid w:val="00883127"/>
    <w:rsid w:val="008D46DC"/>
    <w:rsid w:val="008F0776"/>
    <w:rsid w:val="008F7E09"/>
    <w:rsid w:val="009268FC"/>
    <w:rsid w:val="00927498"/>
    <w:rsid w:val="009423F9"/>
    <w:rsid w:val="00943C25"/>
    <w:rsid w:val="00A13F61"/>
    <w:rsid w:val="00A4046D"/>
    <w:rsid w:val="00A77436"/>
    <w:rsid w:val="00B30D30"/>
    <w:rsid w:val="00B34B4D"/>
    <w:rsid w:val="00B870DF"/>
    <w:rsid w:val="00BA75FD"/>
    <w:rsid w:val="00C32823"/>
    <w:rsid w:val="00CD58B9"/>
    <w:rsid w:val="00E55E95"/>
    <w:rsid w:val="00F45F2F"/>
    <w:rsid w:val="00F568B7"/>
    <w:rsid w:val="00F74E9F"/>
    <w:rsid w:val="00FD3D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C06F6-0C49-44CB-962C-EA35B470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ind w:left="1410" w:hanging="1410"/>
      <w:outlineLvl w:val="0"/>
    </w:pPr>
    <w:rPr>
      <w:b/>
    </w:rPr>
  </w:style>
  <w:style w:type="paragraph" w:styleId="Ttulo2">
    <w:name w:val="heading 2"/>
    <w:basedOn w:val="Normal"/>
    <w:next w:val="Normal"/>
    <w:pPr>
      <w:keepNext/>
      <w:jc w:val="center"/>
      <w:outlineLvl w:val="1"/>
    </w:pPr>
    <w:rPr>
      <w:rFonts w:ascii="Arial" w:eastAsia="Arial" w:hAnsi="Arial" w:cs="Arial"/>
      <w:b/>
    </w:rPr>
  </w:style>
  <w:style w:type="paragraph" w:styleId="Ttulo3">
    <w:name w:val="heading 3"/>
    <w:basedOn w:val="Normal"/>
    <w:next w:val="Normal"/>
    <w:pPr>
      <w:keepNext/>
      <w:jc w:val="center"/>
      <w:outlineLvl w:val="2"/>
    </w:pPr>
    <w:rPr>
      <w:rFonts w:ascii="Arial" w:eastAsia="Arial" w:hAnsi="Arial" w:cs="Arial"/>
      <w:b/>
      <w:sz w:val="20"/>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F45F2F"/>
    <w:pPr>
      <w:tabs>
        <w:tab w:val="center" w:pos="4419"/>
        <w:tab w:val="right" w:pos="8838"/>
      </w:tabs>
    </w:pPr>
  </w:style>
  <w:style w:type="character" w:customStyle="1" w:styleId="EncabezadoCar">
    <w:name w:val="Encabezado Car"/>
    <w:basedOn w:val="Fuentedeprrafopredeter"/>
    <w:link w:val="Encabezado"/>
    <w:uiPriority w:val="99"/>
    <w:rsid w:val="00F45F2F"/>
  </w:style>
  <w:style w:type="paragraph" w:styleId="Piedepgina">
    <w:name w:val="footer"/>
    <w:basedOn w:val="Normal"/>
    <w:link w:val="PiedepginaCar"/>
    <w:uiPriority w:val="99"/>
    <w:unhideWhenUsed/>
    <w:rsid w:val="00F45F2F"/>
    <w:pPr>
      <w:tabs>
        <w:tab w:val="center" w:pos="4419"/>
        <w:tab w:val="right" w:pos="8838"/>
      </w:tabs>
    </w:pPr>
  </w:style>
  <w:style w:type="character" w:customStyle="1" w:styleId="PiedepginaCar">
    <w:name w:val="Pie de página Car"/>
    <w:basedOn w:val="Fuentedeprrafopredeter"/>
    <w:link w:val="Piedepgina"/>
    <w:uiPriority w:val="99"/>
    <w:rsid w:val="00F45F2F"/>
  </w:style>
  <w:style w:type="paragraph" w:styleId="Prrafodelista">
    <w:name w:val="List Paragraph"/>
    <w:basedOn w:val="Normal"/>
    <w:uiPriority w:val="34"/>
    <w:qFormat/>
    <w:rsid w:val="00C32823"/>
    <w:pPr>
      <w:ind w:left="720"/>
      <w:contextualSpacing/>
    </w:pPr>
  </w:style>
  <w:style w:type="paragraph" w:styleId="Textodeglobo">
    <w:name w:val="Balloon Text"/>
    <w:basedOn w:val="Normal"/>
    <w:link w:val="TextodegloboCar"/>
    <w:uiPriority w:val="99"/>
    <w:semiHidden/>
    <w:unhideWhenUsed/>
    <w:rsid w:val="002116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2421</Words>
  <Characters>13321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Alberto Bonillo</dc:creator>
  <cp:lastModifiedBy>cmolina</cp:lastModifiedBy>
  <cp:revision>6</cp:revision>
  <cp:lastPrinted>2022-10-25T18:33:00Z</cp:lastPrinted>
  <dcterms:created xsi:type="dcterms:W3CDTF">2022-10-27T12:38:00Z</dcterms:created>
  <dcterms:modified xsi:type="dcterms:W3CDTF">2022-11-02T14:00:00Z</dcterms:modified>
</cp:coreProperties>
</file>